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DF79" w14:textId="39EA29E8" w:rsidR="00F54CFE" w:rsidRDefault="00F54CFE" w:rsidP="00240DF6">
      <w:pPr>
        <w:rPr>
          <w:b/>
          <w:lang w:val="en-US"/>
        </w:rPr>
      </w:pPr>
    </w:p>
    <w:p w14:paraId="67568238" w14:textId="621B9339" w:rsidR="00F54CFE" w:rsidRDefault="00F54CFE" w:rsidP="00240DF6">
      <w:pPr>
        <w:rPr>
          <w:b/>
          <w:lang w:val="en-US"/>
        </w:rPr>
      </w:pPr>
    </w:p>
    <w:p w14:paraId="56EBEE76" w14:textId="33757D8D" w:rsidR="00F54CFE" w:rsidRDefault="00F54CFE" w:rsidP="00240DF6">
      <w:pPr>
        <w:rPr>
          <w:b/>
          <w:lang w:val="en-US"/>
        </w:rPr>
      </w:pPr>
    </w:p>
    <w:p w14:paraId="3D5E62B7" w14:textId="18454E81" w:rsidR="00F54CFE" w:rsidRDefault="00F54CFE" w:rsidP="00240DF6">
      <w:pPr>
        <w:rPr>
          <w:b/>
          <w:lang w:val="en-US"/>
        </w:rPr>
      </w:pPr>
    </w:p>
    <w:p w14:paraId="2B4315C9" w14:textId="386FA84A" w:rsidR="00265E2A" w:rsidRPr="003550F4" w:rsidRDefault="00F54CFE" w:rsidP="00240DF6">
      <w:pPr>
        <w:pStyle w:val="Listenabsatz"/>
        <w:numPr>
          <w:ilvl w:val="0"/>
          <w:numId w:val="9"/>
        </w:numPr>
        <w:ind w:left="426" w:hanging="426"/>
        <w:rPr>
          <w:b/>
          <w:lang w:val="en-US"/>
        </w:rPr>
      </w:pPr>
      <w:r w:rsidRPr="00F54CFE">
        <w:rPr>
          <w:b/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3C652581" wp14:editId="0F5C9C7C">
            <wp:simplePos x="896983" y="539931"/>
            <wp:positionH relativeFrom="page">
              <wp:posOffset>0</wp:posOffset>
            </wp:positionH>
            <wp:positionV relativeFrom="page">
              <wp:align>top</wp:align>
            </wp:positionV>
            <wp:extent cx="7532914" cy="1576405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CA Logo farbi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5538" cy="1576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E2A" w:rsidRPr="003550F4">
        <w:rPr>
          <w:b/>
          <w:lang w:val="en-US"/>
        </w:rPr>
        <w:t>R</w:t>
      </w:r>
      <w:r w:rsidR="003E3999" w:rsidRPr="003550F4">
        <w:rPr>
          <w:b/>
          <w:lang w:val="en-US"/>
        </w:rPr>
        <w:t xml:space="preserve">eply from … </w:t>
      </w:r>
      <w:r>
        <w:rPr>
          <w:b/>
          <w:lang w:val="en-US"/>
        </w:rPr>
        <w:br/>
      </w:r>
    </w:p>
    <w:p w14:paraId="47A7913E" w14:textId="77777777" w:rsidR="003E3999" w:rsidRPr="003550F4" w:rsidRDefault="003E3999" w:rsidP="00F54CFE">
      <w:pPr>
        <w:pStyle w:val="Listenabsatz"/>
        <w:numPr>
          <w:ilvl w:val="0"/>
          <w:numId w:val="10"/>
        </w:numPr>
        <w:spacing w:line="720" w:lineRule="auto"/>
        <w:rPr>
          <w:lang w:val="en-US"/>
        </w:rPr>
      </w:pPr>
      <w:r w:rsidRPr="003550F4">
        <w:rPr>
          <w:lang w:val="en-US"/>
        </w:rPr>
        <w:t>Company Name</w:t>
      </w:r>
      <w:r w:rsidR="004E210F" w:rsidRPr="003550F4">
        <w:rPr>
          <w:lang w:val="en-US"/>
        </w:rPr>
        <w:t>: ……………………………………………………………………………</w:t>
      </w:r>
    </w:p>
    <w:p w14:paraId="027BCD78" w14:textId="77777777" w:rsidR="003E3999" w:rsidRPr="003550F4" w:rsidRDefault="003E3999" w:rsidP="00F54CFE">
      <w:pPr>
        <w:pStyle w:val="Listenabsatz"/>
        <w:numPr>
          <w:ilvl w:val="0"/>
          <w:numId w:val="10"/>
        </w:numPr>
        <w:spacing w:line="720" w:lineRule="auto"/>
        <w:rPr>
          <w:lang w:val="en-US"/>
        </w:rPr>
      </w:pPr>
      <w:r w:rsidRPr="003550F4">
        <w:rPr>
          <w:lang w:val="en-US"/>
        </w:rPr>
        <w:t>First and last name of Contact Person</w:t>
      </w:r>
      <w:r w:rsidR="004E210F" w:rsidRPr="003550F4">
        <w:rPr>
          <w:lang w:val="en-US"/>
        </w:rPr>
        <w:t>: …………………………………………………..</w:t>
      </w:r>
    </w:p>
    <w:p w14:paraId="6286352E" w14:textId="77777777" w:rsidR="003E3999" w:rsidRPr="003550F4" w:rsidRDefault="003E3999" w:rsidP="00F54CFE">
      <w:pPr>
        <w:pStyle w:val="Listenabsatz"/>
        <w:numPr>
          <w:ilvl w:val="0"/>
          <w:numId w:val="10"/>
        </w:numPr>
        <w:spacing w:line="720" w:lineRule="auto"/>
        <w:rPr>
          <w:lang w:val="en-US"/>
        </w:rPr>
      </w:pPr>
      <w:r w:rsidRPr="003550F4">
        <w:rPr>
          <w:lang w:val="en-US"/>
        </w:rPr>
        <w:t>Position of Contact Person</w:t>
      </w:r>
      <w:r w:rsidR="004E210F" w:rsidRPr="003550F4">
        <w:rPr>
          <w:lang w:val="en-US"/>
        </w:rPr>
        <w:t>: ………………………………………………………………..</w:t>
      </w:r>
    </w:p>
    <w:p w14:paraId="51B31595" w14:textId="77777777" w:rsidR="003E3999" w:rsidRPr="003550F4" w:rsidRDefault="003E3999" w:rsidP="00F54CFE">
      <w:pPr>
        <w:pStyle w:val="Listenabsatz"/>
        <w:numPr>
          <w:ilvl w:val="0"/>
          <w:numId w:val="10"/>
        </w:numPr>
        <w:spacing w:line="720" w:lineRule="auto"/>
        <w:rPr>
          <w:lang w:val="en-US"/>
        </w:rPr>
      </w:pPr>
      <w:r w:rsidRPr="003550F4">
        <w:rPr>
          <w:lang w:val="en-US"/>
        </w:rPr>
        <w:t>Email of Contact Person</w:t>
      </w:r>
      <w:r w:rsidR="004E210F" w:rsidRPr="003550F4">
        <w:rPr>
          <w:lang w:val="en-US"/>
        </w:rPr>
        <w:t>: …………………………………………………………………..</w:t>
      </w:r>
    </w:p>
    <w:p w14:paraId="5E4FC6E0" w14:textId="77777777" w:rsidR="003E3999" w:rsidRPr="003550F4" w:rsidRDefault="003E3999" w:rsidP="00F54CFE">
      <w:pPr>
        <w:pStyle w:val="Listenabsatz"/>
        <w:numPr>
          <w:ilvl w:val="0"/>
          <w:numId w:val="10"/>
        </w:numPr>
        <w:spacing w:line="720" w:lineRule="auto"/>
        <w:rPr>
          <w:lang w:val="en-US"/>
        </w:rPr>
      </w:pPr>
      <w:r w:rsidRPr="003550F4">
        <w:rPr>
          <w:lang w:val="en-US"/>
        </w:rPr>
        <w:t>Telephone Number of Contact Person</w:t>
      </w:r>
      <w:r w:rsidR="004E210F" w:rsidRPr="003550F4">
        <w:rPr>
          <w:lang w:val="en-US"/>
        </w:rPr>
        <w:t>: …………………………………………………..</w:t>
      </w:r>
    </w:p>
    <w:p w14:paraId="0B9E7968" w14:textId="508C227F" w:rsidR="00265E2A" w:rsidRPr="003550F4" w:rsidRDefault="00265E2A" w:rsidP="00240DF6">
      <w:pPr>
        <w:pStyle w:val="Listenabsatz"/>
        <w:numPr>
          <w:ilvl w:val="0"/>
          <w:numId w:val="9"/>
        </w:numPr>
        <w:ind w:left="426" w:hanging="426"/>
        <w:rPr>
          <w:b/>
          <w:lang w:val="en-US"/>
        </w:rPr>
      </w:pPr>
      <w:r w:rsidRPr="003550F4">
        <w:rPr>
          <w:b/>
          <w:lang w:val="en-US"/>
        </w:rPr>
        <w:t>Do you wish your consultation response to remain anonymous?</w:t>
      </w:r>
      <w:r w:rsidR="00E70F20">
        <w:rPr>
          <w:b/>
          <w:lang w:val="en-US"/>
        </w:rPr>
        <w:br/>
      </w:r>
    </w:p>
    <w:p w14:paraId="59A4308B" w14:textId="309EA6B6" w:rsidR="003E3999" w:rsidRPr="00E70F20" w:rsidRDefault="00E70F20" w:rsidP="00E70F20">
      <w:pPr>
        <w:autoSpaceDE w:val="0"/>
        <w:autoSpaceDN w:val="0"/>
        <w:adjustRightInd w:val="0"/>
        <w:spacing w:line="240" w:lineRule="auto"/>
        <w:ind w:left="708"/>
        <w:rPr>
          <w:lang w:val="en-US"/>
        </w:rPr>
      </w:pPr>
      <w:r w:rsidRPr="00E70F20">
        <w:rPr>
          <w:rFonts w:ascii="Wingdings" w:hAnsi="Wingdings" w:cs="Wingdings"/>
          <w:sz w:val="26"/>
          <w:szCs w:val="26"/>
        </w:rPr>
        <w:t></w:t>
      </w:r>
      <w:r>
        <w:rPr>
          <w:rFonts w:ascii="Wingdings" w:hAnsi="Wingdings" w:cs="Wingdings"/>
          <w:sz w:val="26"/>
          <w:szCs w:val="26"/>
        </w:rPr>
        <w:t></w:t>
      </w:r>
      <w:r w:rsidR="003E3999" w:rsidRPr="00E70F20">
        <w:rPr>
          <w:lang w:val="en-US"/>
        </w:rPr>
        <w:t xml:space="preserve">YES </w:t>
      </w:r>
      <w:r>
        <w:rPr>
          <w:lang w:val="en-US"/>
        </w:rPr>
        <w:t xml:space="preserve">      </w:t>
      </w:r>
      <w:r w:rsidRPr="00E70F20">
        <w:rPr>
          <w:rFonts w:ascii="Wingdings" w:hAnsi="Wingdings" w:cs="Wingdings"/>
          <w:sz w:val="26"/>
          <w:szCs w:val="26"/>
        </w:rPr>
        <w:t></w:t>
      </w:r>
      <w:r w:rsidRPr="00E70F20">
        <w:rPr>
          <w:rFonts w:ascii="Wingdings" w:hAnsi="Wingdings" w:cs="Wingdings"/>
          <w:sz w:val="26"/>
          <w:szCs w:val="26"/>
        </w:rPr>
        <w:t></w:t>
      </w:r>
      <w:r w:rsidR="003E3999" w:rsidRPr="00E70F20">
        <w:rPr>
          <w:lang w:val="en-US"/>
        </w:rPr>
        <w:t>NO</w:t>
      </w:r>
    </w:p>
    <w:p w14:paraId="0AE73352" w14:textId="77777777" w:rsidR="003E3999" w:rsidRPr="003550F4" w:rsidRDefault="003E3999" w:rsidP="003E3999">
      <w:pPr>
        <w:rPr>
          <w:lang w:val="en-US"/>
        </w:rPr>
      </w:pPr>
    </w:p>
    <w:p w14:paraId="62A876B3" w14:textId="77777777" w:rsidR="00265E2A" w:rsidRPr="003550F4" w:rsidRDefault="00265E2A" w:rsidP="00240DF6">
      <w:pPr>
        <w:pStyle w:val="Listenabsatz"/>
        <w:numPr>
          <w:ilvl w:val="0"/>
          <w:numId w:val="9"/>
        </w:numPr>
        <w:ind w:left="426" w:hanging="426"/>
        <w:rPr>
          <w:b/>
          <w:lang w:val="en-US"/>
        </w:rPr>
      </w:pPr>
      <w:r w:rsidRPr="003550F4">
        <w:rPr>
          <w:b/>
          <w:lang w:val="en-US"/>
        </w:rPr>
        <w:t>On a scale of 1 to 5 (</w:t>
      </w:r>
      <w:proofErr w:type="gramStart"/>
      <w:r w:rsidRPr="003550F4">
        <w:rPr>
          <w:b/>
          <w:lang w:val="en-US"/>
        </w:rPr>
        <w:t>1</w:t>
      </w:r>
      <w:proofErr w:type="gramEnd"/>
      <w:r w:rsidRPr="003550F4">
        <w:rPr>
          <w:b/>
          <w:lang w:val="en-US"/>
        </w:rPr>
        <w:t xml:space="preserve"> = very good, 5 = very bad), how useful is the provided information shown in the </w:t>
      </w:r>
      <w:r w:rsidR="004E210F" w:rsidRPr="003550F4">
        <w:rPr>
          <w:b/>
          <w:lang w:val="en-US"/>
        </w:rPr>
        <w:t xml:space="preserve">enclosed </w:t>
      </w:r>
      <w:r w:rsidRPr="003550F4">
        <w:rPr>
          <w:b/>
          <w:lang w:val="en-US"/>
        </w:rPr>
        <w:t>status quo slides</w:t>
      </w:r>
      <w:r w:rsidR="004E210F" w:rsidRPr="003550F4">
        <w:rPr>
          <w:b/>
          <w:lang w:val="en-US"/>
        </w:rPr>
        <w:t xml:space="preserve"> (# 5 – 17)</w:t>
      </w:r>
      <w:r w:rsidRPr="003550F4">
        <w:rPr>
          <w:b/>
          <w:lang w:val="en-US"/>
        </w:rPr>
        <w:t>?</w:t>
      </w:r>
    </w:p>
    <w:p w14:paraId="73DEADC8" w14:textId="77777777" w:rsidR="00265E2A" w:rsidRPr="003550F4" w:rsidRDefault="00265E2A" w:rsidP="003E3999">
      <w:pPr>
        <w:rPr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34"/>
        <w:gridCol w:w="1835"/>
        <w:gridCol w:w="1835"/>
        <w:gridCol w:w="1835"/>
        <w:gridCol w:w="1835"/>
      </w:tblGrid>
      <w:tr w:rsidR="00B46BCA" w:rsidRPr="003550F4" w14:paraId="667EBFE6" w14:textId="77777777" w:rsidTr="00E70F20">
        <w:trPr>
          <w:trHeight w:val="284"/>
          <w:jc w:val="center"/>
        </w:trPr>
        <w:tc>
          <w:tcPr>
            <w:tcW w:w="1834" w:type="dxa"/>
            <w:vAlign w:val="center"/>
          </w:tcPr>
          <w:p w14:paraId="40BDBC0E" w14:textId="77777777" w:rsidR="00B46BCA" w:rsidRPr="003550F4" w:rsidRDefault="00B46BCA" w:rsidP="00B46BCA">
            <w:pPr>
              <w:jc w:val="center"/>
              <w:rPr>
                <w:b/>
                <w:lang w:val="en-US"/>
              </w:rPr>
            </w:pPr>
            <w:r w:rsidRPr="003550F4">
              <w:rPr>
                <w:b/>
                <w:lang w:val="en-US"/>
              </w:rPr>
              <w:t>1</w:t>
            </w:r>
          </w:p>
        </w:tc>
        <w:tc>
          <w:tcPr>
            <w:tcW w:w="1835" w:type="dxa"/>
            <w:vAlign w:val="center"/>
          </w:tcPr>
          <w:p w14:paraId="49E43C3A" w14:textId="77777777" w:rsidR="00B46BCA" w:rsidRPr="003550F4" w:rsidRDefault="00B46BCA" w:rsidP="00B46BCA">
            <w:pPr>
              <w:jc w:val="center"/>
              <w:rPr>
                <w:b/>
                <w:lang w:val="en-US"/>
              </w:rPr>
            </w:pPr>
            <w:r w:rsidRPr="003550F4">
              <w:rPr>
                <w:b/>
                <w:lang w:val="en-US"/>
              </w:rPr>
              <w:t>2</w:t>
            </w:r>
          </w:p>
        </w:tc>
        <w:tc>
          <w:tcPr>
            <w:tcW w:w="1835" w:type="dxa"/>
            <w:vAlign w:val="center"/>
          </w:tcPr>
          <w:p w14:paraId="53E7606D" w14:textId="77777777" w:rsidR="00B46BCA" w:rsidRPr="003550F4" w:rsidRDefault="00B46BCA" w:rsidP="00B46BCA">
            <w:pPr>
              <w:jc w:val="center"/>
              <w:rPr>
                <w:b/>
                <w:lang w:val="en-US"/>
              </w:rPr>
            </w:pPr>
            <w:r w:rsidRPr="003550F4">
              <w:rPr>
                <w:b/>
                <w:lang w:val="en-US"/>
              </w:rPr>
              <w:t>3</w:t>
            </w:r>
          </w:p>
        </w:tc>
        <w:tc>
          <w:tcPr>
            <w:tcW w:w="1835" w:type="dxa"/>
            <w:vAlign w:val="center"/>
          </w:tcPr>
          <w:p w14:paraId="6E6B09E4" w14:textId="77777777" w:rsidR="00B46BCA" w:rsidRPr="003550F4" w:rsidRDefault="00B46BCA" w:rsidP="00B46BCA">
            <w:pPr>
              <w:jc w:val="center"/>
              <w:rPr>
                <w:b/>
                <w:lang w:val="en-US"/>
              </w:rPr>
            </w:pPr>
            <w:r w:rsidRPr="003550F4">
              <w:rPr>
                <w:b/>
                <w:lang w:val="en-US"/>
              </w:rPr>
              <w:t>4</w:t>
            </w:r>
          </w:p>
        </w:tc>
        <w:tc>
          <w:tcPr>
            <w:tcW w:w="1835" w:type="dxa"/>
            <w:vAlign w:val="center"/>
          </w:tcPr>
          <w:p w14:paraId="1B6756EF" w14:textId="77777777" w:rsidR="00B46BCA" w:rsidRPr="003550F4" w:rsidRDefault="00B46BCA" w:rsidP="00B46BCA">
            <w:pPr>
              <w:jc w:val="center"/>
              <w:rPr>
                <w:b/>
                <w:lang w:val="en-US"/>
              </w:rPr>
            </w:pPr>
            <w:r w:rsidRPr="003550F4">
              <w:rPr>
                <w:b/>
                <w:lang w:val="en-US"/>
              </w:rPr>
              <w:t>5</w:t>
            </w:r>
          </w:p>
        </w:tc>
      </w:tr>
    </w:tbl>
    <w:p w14:paraId="2794D9C9" w14:textId="77777777" w:rsidR="00B46BCA" w:rsidRPr="003550F4" w:rsidRDefault="00B46BCA" w:rsidP="003E3999">
      <w:pPr>
        <w:rPr>
          <w:lang w:val="en-US"/>
        </w:rPr>
      </w:pPr>
    </w:p>
    <w:p w14:paraId="1473B7D5" w14:textId="77777777" w:rsidR="00F9007C" w:rsidRPr="003550F4" w:rsidRDefault="00F9007C" w:rsidP="00240DF6">
      <w:pPr>
        <w:pStyle w:val="Listenabsatz"/>
        <w:numPr>
          <w:ilvl w:val="0"/>
          <w:numId w:val="9"/>
        </w:numPr>
        <w:ind w:left="426" w:hanging="426"/>
        <w:rPr>
          <w:b/>
          <w:lang w:val="en-US"/>
        </w:rPr>
      </w:pPr>
      <w:r w:rsidRPr="003550F4">
        <w:rPr>
          <w:b/>
          <w:lang w:val="en-US"/>
        </w:rPr>
        <w:t>Do you make use of the provided information?</w:t>
      </w:r>
    </w:p>
    <w:p w14:paraId="3660289E" w14:textId="77777777" w:rsidR="00F9007C" w:rsidRPr="003550F4" w:rsidRDefault="00F9007C" w:rsidP="00F9007C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949"/>
      </w:tblGrid>
      <w:tr w:rsidR="00F9007C" w:rsidRPr="003550F4" w14:paraId="79D6432E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2202FEC1" w14:textId="77777777" w:rsidR="00F9007C" w:rsidRPr="003550F4" w:rsidRDefault="00F9007C" w:rsidP="00265E2A">
            <w:pPr>
              <w:rPr>
                <w:b/>
                <w:lang w:val="en-US"/>
              </w:rPr>
            </w:pPr>
            <w:r w:rsidRPr="003550F4">
              <w:rPr>
                <w:b/>
                <w:lang w:val="en-US"/>
              </w:rPr>
              <w:t>Information</w:t>
            </w:r>
          </w:p>
        </w:tc>
        <w:tc>
          <w:tcPr>
            <w:tcW w:w="2694" w:type="dxa"/>
            <w:vAlign w:val="center"/>
          </w:tcPr>
          <w:p w14:paraId="67F40548" w14:textId="77777777" w:rsidR="00F9007C" w:rsidRPr="003550F4" w:rsidRDefault="00F9007C" w:rsidP="00265E2A">
            <w:pPr>
              <w:jc w:val="center"/>
              <w:rPr>
                <w:b/>
                <w:lang w:val="en-US"/>
              </w:rPr>
            </w:pPr>
            <w:r w:rsidRPr="003550F4">
              <w:rPr>
                <w:b/>
                <w:lang w:val="en-US"/>
              </w:rPr>
              <w:t>YES / NO / Not applicable (NA)</w:t>
            </w:r>
          </w:p>
        </w:tc>
        <w:tc>
          <w:tcPr>
            <w:tcW w:w="1949" w:type="dxa"/>
            <w:vAlign w:val="center"/>
          </w:tcPr>
          <w:p w14:paraId="177B8CD3" w14:textId="77777777" w:rsidR="00F9007C" w:rsidRPr="003550F4" w:rsidRDefault="00F9007C" w:rsidP="00265E2A">
            <w:pPr>
              <w:jc w:val="center"/>
              <w:rPr>
                <w:b/>
                <w:lang w:val="en-US"/>
              </w:rPr>
            </w:pPr>
            <w:r w:rsidRPr="003550F4">
              <w:rPr>
                <w:b/>
                <w:lang w:val="en-US"/>
              </w:rPr>
              <w:t>If yes, HOW OFTEN?</w:t>
            </w:r>
          </w:p>
        </w:tc>
      </w:tr>
      <w:tr w:rsidR="00F9007C" w:rsidRPr="003550F4" w14:paraId="66320F37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2BDC3552" w14:textId="4EB8D653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 xml:space="preserve">Overall status – </w:t>
            </w:r>
            <w:proofErr w:type="spellStart"/>
            <w:r w:rsidRPr="003550F4">
              <w:rPr>
                <w:lang w:val="en-US"/>
              </w:rPr>
              <w:t>Linepack</w:t>
            </w:r>
            <w:proofErr w:type="spellEnd"/>
            <w:r w:rsidR="00EC2AC3">
              <w:rPr>
                <w:lang w:val="en-US"/>
              </w:rPr>
              <w:t xml:space="preserve"> (Slide 7)</w:t>
            </w:r>
          </w:p>
        </w:tc>
        <w:tc>
          <w:tcPr>
            <w:tcW w:w="2694" w:type="dxa"/>
            <w:vAlign w:val="center"/>
          </w:tcPr>
          <w:p w14:paraId="39F65D23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3B5FD318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E70F20" w14:paraId="062F9CAD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297EA678" w14:textId="5312CC28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>Overall status – Market Area Balance</w:t>
            </w:r>
            <w:r w:rsidR="00EC2AC3">
              <w:rPr>
                <w:lang w:val="en-US"/>
              </w:rPr>
              <w:t xml:space="preserve"> (Slide </w:t>
            </w:r>
            <w:r w:rsidR="00CE4D18">
              <w:rPr>
                <w:lang w:val="en-US"/>
              </w:rPr>
              <w:t>8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7AC51C3D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76D93769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E70F20" w14:paraId="1B545DF1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6B9A511E" w14:textId="132F0E26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 xml:space="preserve">Report on the </w:t>
            </w:r>
            <w:proofErr w:type="spellStart"/>
            <w:r w:rsidRPr="003550F4">
              <w:rPr>
                <w:lang w:val="en-US"/>
              </w:rPr>
              <w:t>balacing</w:t>
            </w:r>
            <w:proofErr w:type="spellEnd"/>
            <w:r w:rsidRPr="003550F4">
              <w:rPr>
                <w:lang w:val="en-US"/>
              </w:rPr>
              <w:t xml:space="preserve"> incentive markups</w:t>
            </w:r>
            <w:r w:rsidR="00EC2AC3">
              <w:rPr>
                <w:lang w:val="en-US"/>
              </w:rPr>
              <w:t xml:space="preserve"> (Slide </w:t>
            </w:r>
            <w:r w:rsidR="00CE4D18">
              <w:rPr>
                <w:lang w:val="en-US"/>
              </w:rPr>
              <w:t>9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1A26D58D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5EDB3A31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3550F4" w14:paraId="145DCE1C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0EA4AEDC" w14:textId="0F3E85B3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>MAM balancing</w:t>
            </w:r>
            <w:r w:rsidR="00EC2AC3">
              <w:rPr>
                <w:lang w:val="en-US"/>
              </w:rPr>
              <w:t xml:space="preserve"> (Slide 1</w:t>
            </w:r>
            <w:r w:rsidR="00CE4D18">
              <w:rPr>
                <w:lang w:val="en-US"/>
              </w:rPr>
              <w:t>0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5ED4EC43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2978A4FA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E70F20" w14:paraId="7E7EC199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6DB8BFFE" w14:textId="6C9BD8D9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>MAM within-day-balancing</w:t>
            </w:r>
            <w:r w:rsidR="00EC2AC3">
              <w:rPr>
                <w:lang w:val="en-US"/>
              </w:rPr>
              <w:t xml:space="preserve"> (Slide 1</w:t>
            </w:r>
            <w:r w:rsidR="00CE4D18">
              <w:rPr>
                <w:lang w:val="en-US"/>
              </w:rPr>
              <w:t>1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63AA5979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19376DDF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E70F20" w14:paraId="34D36374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5FD6169F" w14:textId="31DAFF35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 xml:space="preserve">Forecasts and updates for Intraday metered inputs/off-takes acc. </w:t>
            </w:r>
            <w:r w:rsidR="00EC1AF7">
              <w:rPr>
                <w:lang w:val="en-US"/>
              </w:rPr>
              <w:t xml:space="preserve">to </w:t>
            </w:r>
            <w:r w:rsidRPr="003550F4">
              <w:rPr>
                <w:lang w:val="en-US"/>
              </w:rPr>
              <w:t>Art. 34</w:t>
            </w:r>
            <w:r w:rsidR="00EC2AC3">
              <w:rPr>
                <w:lang w:val="en-US"/>
              </w:rPr>
              <w:t xml:space="preserve"> (Slide 1</w:t>
            </w:r>
            <w:r w:rsidR="00CE4D18">
              <w:rPr>
                <w:lang w:val="en-US"/>
              </w:rPr>
              <w:t>3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332EBE55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2348A44A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E70F20" w14:paraId="281490E7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2C9B384D" w14:textId="397D7031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 xml:space="preserve">Forecasts and updates for NDM off-takes acc. </w:t>
            </w:r>
            <w:r w:rsidR="00EC1AF7">
              <w:rPr>
                <w:lang w:val="en-US"/>
              </w:rPr>
              <w:t xml:space="preserve">to </w:t>
            </w:r>
            <w:r w:rsidRPr="003550F4">
              <w:rPr>
                <w:lang w:val="en-US"/>
              </w:rPr>
              <w:t>Art. 36</w:t>
            </w:r>
            <w:r w:rsidR="00EC2AC3">
              <w:rPr>
                <w:lang w:val="en-US"/>
              </w:rPr>
              <w:t xml:space="preserve"> (Slide 1</w:t>
            </w:r>
            <w:r w:rsidR="00CE4D18">
              <w:rPr>
                <w:lang w:val="en-US"/>
              </w:rPr>
              <w:t>5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59CBAFAC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761F412F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E70F20" w14:paraId="6C8C16BD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3807A5E4" w14:textId="1C45DCC6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 xml:space="preserve">Information concerning initial allocations and initial imbalances acc. </w:t>
            </w:r>
            <w:r w:rsidR="00EC1AF7">
              <w:rPr>
                <w:lang w:val="en-US"/>
              </w:rPr>
              <w:t xml:space="preserve">to </w:t>
            </w:r>
            <w:r w:rsidRPr="003550F4">
              <w:rPr>
                <w:lang w:val="en-US"/>
              </w:rPr>
              <w:t>Art 37</w:t>
            </w:r>
            <w:r w:rsidR="00EC2AC3">
              <w:rPr>
                <w:lang w:val="en-US"/>
              </w:rPr>
              <w:t xml:space="preserve"> (Slide 1</w:t>
            </w:r>
            <w:r w:rsidR="00CE4D18">
              <w:rPr>
                <w:lang w:val="en-US"/>
              </w:rPr>
              <w:t>6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1873E99B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31D5A79E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E70F20" w14:paraId="32D186F8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55512F4B" w14:textId="3F334AA8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 xml:space="preserve">Information concerning final allocations and final imbalances acc. </w:t>
            </w:r>
            <w:r w:rsidR="00EC1AF7">
              <w:rPr>
                <w:lang w:val="en-US"/>
              </w:rPr>
              <w:t xml:space="preserve">to </w:t>
            </w:r>
            <w:r w:rsidRPr="003550F4">
              <w:rPr>
                <w:lang w:val="en-US"/>
              </w:rPr>
              <w:t>Art. 37</w:t>
            </w:r>
            <w:r w:rsidR="00EC2AC3">
              <w:rPr>
                <w:lang w:val="en-US"/>
              </w:rPr>
              <w:t xml:space="preserve"> (Slide 1</w:t>
            </w:r>
            <w:r w:rsidR="00CE4D18">
              <w:rPr>
                <w:lang w:val="en-US"/>
              </w:rPr>
              <w:t>6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269039F9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060CC440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  <w:tr w:rsidR="00F9007C" w:rsidRPr="00E70F20" w14:paraId="64B62549" w14:textId="77777777" w:rsidTr="00E70F20">
        <w:trPr>
          <w:trHeight w:val="425"/>
        </w:trPr>
        <w:tc>
          <w:tcPr>
            <w:tcW w:w="4531" w:type="dxa"/>
            <w:vAlign w:val="center"/>
          </w:tcPr>
          <w:p w14:paraId="2B33A905" w14:textId="2DC3E7BF" w:rsidR="00F9007C" w:rsidRPr="003550F4" w:rsidRDefault="00F9007C" w:rsidP="00F54CFE">
            <w:pPr>
              <w:spacing w:line="360" w:lineRule="auto"/>
              <w:rPr>
                <w:lang w:val="en-US"/>
              </w:rPr>
            </w:pPr>
            <w:r w:rsidRPr="003550F4">
              <w:rPr>
                <w:lang w:val="en-US"/>
              </w:rPr>
              <w:t>Allocation data in the log-in-area of the MAM-platform</w:t>
            </w:r>
            <w:r w:rsidR="00EC2AC3">
              <w:rPr>
                <w:lang w:val="en-US"/>
              </w:rPr>
              <w:t xml:space="preserve"> (Slide </w:t>
            </w:r>
            <w:r w:rsidR="00CE4D18">
              <w:rPr>
                <w:lang w:val="en-US"/>
              </w:rPr>
              <w:t>17</w:t>
            </w:r>
            <w:r w:rsidR="00EC2AC3">
              <w:rPr>
                <w:lang w:val="en-US"/>
              </w:rPr>
              <w:t>)</w:t>
            </w:r>
          </w:p>
        </w:tc>
        <w:tc>
          <w:tcPr>
            <w:tcW w:w="2694" w:type="dxa"/>
            <w:vAlign w:val="center"/>
          </w:tcPr>
          <w:p w14:paraId="77E7DEE2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  <w:tc>
          <w:tcPr>
            <w:tcW w:w="1949" w:type="dxa"/>
            <w:vAlign w:val="center"/>
          </w:tcPr>
          <w:p w14:paraId="155E7B8A" w14:textId="77777777" w:rsidR="00F9007C" w:rsidRPr="003550F4" w:rsidRDefault="00F9007C" w:rsidP="00265E2A">
            <w:pPr>
              <w:jc w:val="center"/>
              <w:rPr>
                <w:lang w:val="en-US"/>
              </w:rPr>
            </w:pPr>
          </w:p>
        </w:tc>
      </w:tr>
    </w:tbl>
    <w:p w14:paraId="2758ED2F" w14:textId="59DB24EB" w:rsidR="00F9007C" w:rsidRPr="003550F4" w:rsidRDefault="00F54CFE" w:rsidP="00E70F20">
      <w:pPr>
        <w:rPr>
          <w:b/>
          <w:lang w:val="en-US"/>
        </w:rPr>
      </w:pPr>
      <w:r>
        <w:rPr>
          <w:lang w:val="en-US"/>
        </w:rPr>
        <w:br w:type="page"/>
      </w:r>
      <w:r w:rsidR="00F9007C" w:rsidRPr="003550F4">
        <w:rPr>
          <w:b/>
          <w:lang w:val="en-US"/>
        </w:rPr>
        <w:lastRenderedPageBreak/>
        <w:t>On a scale of 1 to 5 (</w:t>
      </w:r>
      <w:proofErr w:type="gramStart"/>
      <w:r w:rsidR="00F9007C" w:rsidRPr="003550F4">
        <w:rPr>
          <w:b/>
          <w:lang w:val="en-US"/>
        </w:rPr>
        <w:t>1</w:t>
      </w:r>
      <w:proofErr w:type="gramEnd"/>
      <w:r w:rsidR="00F9007C" w:rsidRPr="003550F4">
        <w:rPr>
          <w:b/>
          <w:lang w:val="en-US"/>
        </w:rPr>
        <w:t xml:space="preserve"> = very satisfied, 5 = not satisfied), how satisfied are you with the presentation of the provided information? Do you have suggestions for necessary improvements?</w:t>
      </w:r>
    </w:p>
    <w:p w14:paraId="198FE69D" w14:textId="77777777" w:rsidR="00F9007C" w:rsidRPr="003550F4" w:rsidRDefault="00F9007C" w:rsidP="003E3999">
      <w:pPr>
        <w:rPr>
          <w:sz w:val="24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425"/>
        <w:gridCol w:w="426"/>
        <w:gridCol w:w="425"/>
        <w:gridCol w:w="425"/>
        <w:gridCol w:w="425"/>
        <w:gridCol w:w="709"/>
        <w:gridCol w:w="3367"/>
      </w:tblGrid>
      <w:tr w:rsidR="00F9007C" w:rsidRPr="003550F4" w14:paraId="4929D484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408ED3E6" w14:textId="77777777" w:rsidR="00F9007C" w:rsidRPr="00A766F1" w:rsidRDefault="00F9007C" w:rsidP="00F54CFE">
            <w:pPr>
              <w:spacing w:line="360" w:lineRule="auto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Information</w:t>
            </w:r>
          </w:p>
        </w:tc>
        <w:tc>
          <w:tcPr>
            <w:tcW w:w="425" w:type="dxa"/>
            <w:vAlign w:val="center"/>
          </w:tcPr>
          <w:p w14:paraId="4264079B" w14:textId="77777777" w:rsidR="00F9007C" w:rsidRPr="00A766F1" w:rsidRDefault="00F9007C" w:rsidP="00F54CFE">
            <w:pPr>
              <w:spacing w:line="360" w:lineRule="auto"/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1</w:t>
            </w:r>
          </w:p>
        </w:tc>
        <w:tc>
          <w:tcPr>
            <w:tcW w:w="426" w:type="dxa"/>
            <w:vAlign w:val="center"/>
          </w:tcPr>
          <w:p w14:paraId="1284921D" w14:textId="77777777" w:rsidR="00F9007C" w:rsidRPr="00A766F1" w:rsidRDefault="00F9007C" w:rsidP="00F54CFE">
            <w:pPr>
              <w:spacing w:line="360" w:lineRule="auto"/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14:paraId="02E61CFC" w14:textId="77777777" w:rsidR="00F9007C" w:rsidRPr="00A766F1" w:rsidRDefault="00F9007C" w:rsidP="00F54CFE">
            <w:pPr>
              <w:spacing w:line="360" w:lineRule="auto"/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3</w:t>
            </w:r>
          </w:p>
        </w:tc>
        <w:tc>
          <w:tcPr>
            <w:tcW w:w="425" w:type="dxa"/>
            <w:vAlign w:val="center"/>
          </w:tcPr>
          <w:p w14:paraId="50F296BC" w14:textId="77777777" w:rsidR="00F9007C" w:rsidRPr="00A766F1" w:rsidRDefault="00F9007C" w:rsidP="00F54CFE">
            <w:pPr>
              <w:spacing w:line="360" w:lineRule="auto"/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14:paraId="058D8411" w14:textId="77777777" w:rsidR="00F9007C" w:rsidRPr="00A766F1" w:rsidRDefault="00F9007C" w:rsidP="00F54CFE">
            <w:pPr>
              <w:spacing w:line="360" w:lineRule="auto"/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5</w:t>
            </w:r>
          </w:p>
        </w:tc>
        <w:tc>
          <w:tcPr>
            <w:tcW w:w="709" w:type="dxa"/>
            <w:vAlign w:val="center"/>
          </w:tcPr>
          <w:p w14:paraId="21103B85" w14:textId="77777777" w:rsidR="00F9007C" w:rsidRPr="00A766F1" w:rsidRDefault="00F9007C" w:rsidP="00F54CFE">
            <w:pPr>
              <w:spacing w:line="360" w:lineRule="auto"/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N/A</w:t>
            </w:r>
          </w:p>
        </w:tc>
        <w:tc>
          <w:tcPr>
            <w:tcW w:w="3367" w:type="dxa"/>
            <w:vAlign w:val="center"/>
          </w:tcPr>
          <w:p w14:paraId="06C831C4" w14:textId="77777777" w:rsidR="00F9007C" w:rsidRPr="00A766F1" w:rsidRDefault="00F9007C" w:rsidP="00F54CFE">
            <w:pPr>
              <w:spacing w:line="360" w:lineRule="auto"/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 xml:space="preserve">Suggestions </w:t>
            </w:r>
          </w:p>
        </w:tc>
      </w:tr>
      <w:tr w:rsidR="00EC2AC3" w:rsidRPr="003550F4" w14:paraId="73FE93E4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64CA9B27" w14:textId="04736084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Overall status – </w:t>
            </w:r>
            <w:proofErr w:type="spellStart"/>
            <w:r w:rsidRPr="00A766F1">
              <w:rPr>
                <w:szCs w:val="18"/>
                <w:lang w:val="en-US"/>
              </w:rPr>
              <w:t>Linepack</w:t>
            </w:r>
            <w:proofErr w:type="spellEnd"/>
            <w:r w:rsidRPr="00A766F1">
              <w:rPr>
                <w:szCs w:val="18"/>
                <w:lang w:val="en-US"/>
              </w:rPr>
              <w:t xml:space="preserve"> (Slide 7)</w:t>
            </w:r>
          </w:p>
        </w:tc>
        <w:tc>
          <w:tcPr>
            <w:tcW w:w="425" w:type="dxa"/>
            <w:vAlign w:val="center"/>
          </w:tcPr>
          <w:p w14:paraId="4BAF00C8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13BDDBCA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5A593C5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C22E007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0F9694D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B497315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5BD0CABD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0FBD2F25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087C8CDD" w14:textId="4F9E669F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Overall status – Market Area Balance (Slide </w:t>
            </w:r>
            <w:r w:rsidR="00CE4D18" w:rsidRPr="00A766F1">
              <w:rPr>
                <w:szCs w:val="18"/>
                <w:lang w:val="en-US"/>
              </w:rPr>
              <w:t>8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2D34B7A7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A765270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458B8D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F07532C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70EAC9C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900864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042B648D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610E0455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67C66193" w14:textId="0AD3D29B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Report on the </w:t>
            </w:r>
            <w:proofErr w:type="spellStart"/>
            <w:r w:rsidRPr="00A766F1">
              <w:rPr>
                <w:szCs w:val="18"/>
                <w:lang w:val="en-US"/>
              </w:rPr>
              <w:t>balacing</w:t>
            </w:r>
            <w:proofErr w:type="spellEnd"/>
            <w:r w:rsidRPr="00A766F1">
              <w:rPr>
                <w:szCs w:val="18"/>
                <w:lang w:val="en-US"/>
              </w:rPr>
              <w:t xml:space="preserve"> incentive markups (Slide </w:t>
            </w:r>
            <w:r w:rsidR="00CE4D18" w:rsidRPr="00A766F1">
              <w:rPr>
                <w:szCs w:val="18"/>
                <w:lang w:val="en-US"/>
              </w:rPr>
              <w:t>9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409A3B04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7D6D088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70AE79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86290C0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857DEE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E0E425E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7414E7D0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3550F4" w14:paraId="5157E9F7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71C90EC3" w14:textId="7B434CE9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MAM balancing (Slide 1</w:t>
            </w:r>
            <w:r w:rsidR="00CE4D18" w:rsidRPr="00A766F1">
              <w:rPr>
                <w:szCs w:val="18"/>
                <w:lang w:val="en-US"/>
              </w:rPr>
              <w:t>0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49483F88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73BA2570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73B1C25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1B384FE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F01DE0A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5AFF057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69A3F0C0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133680C1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34B77801" w14:textId="5FEA8738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MAM within-day-balancing (Slide 1</w:t>
            </w:r>
            <w:r w:rsidR="00CE4D18" w:rsidRPr="00A766F1">
              <w:rPr>
                <w:szCs w:val="18"/>
                <w:lang w:val="en-US"/>
              </w:rPr>
              <w:t>1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7D839EF1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D7588EC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112ABDC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45806DE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00C345C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F4192B9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21A6B33A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3FF1457C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2CF626EF" w14:textId="435263DB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Forecasts and updates for Intraday metered inputs/off-takes acc. to Art. 34 (Slide 1</w:t>
            </w:r>
            <w:r w:rsidR="00CE4D18" w:rsidRPr="00A766F1">
              <w:rPr>
                <w:szCs w:val="18"/>
                <w:lang w:val="en-US"/>
              </w:rPr>
              <w:t>3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7A4068DA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14035EB8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055857E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BEF2C0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1781E85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837AD54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3B0167A0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09427B8D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26037027" w14:textId="4ACDB3B5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Forecasts and updates for NDM off-takes acc. to Art. 36 (Slide 1</w:t>
            </w:r>
            <w:r w:rsidR="00CE4D18" w:rsidRPr="00A766F1">
              <w:rPr>
                <w:szCs w:val="18"/>
                <w:lang w:val="en-US"/>
              </w:rPr>
              <w:t>5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6CF2544B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798B011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7A74888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7964067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3A3195B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B48A52F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4CF5B58B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69CEF328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568A92D5" w14:textId="5073F6DA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Information concerning initial allocations and initial imbalances acc. to Art 37 (Slide 1</w:t>
            </w:r>
            <w:r w:rsidR="00CE4D18" w:rsidRPr="00A766F1">
              <w:rPr>
                <w:szCs w:val="18"/>
                <w:lang w:val="en-US"/>
              </w:rPr>
              <w:t>6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1D2FE194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EDA954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885EF0E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530C95F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BAA20D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8B9F3ED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70CFAA8E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04F26755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43534330" w14:textId="0BD1E9B5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Information concerning final allocations and final imbalances acc. to Art. 37 (Slide 1</w:t>
            </w:r>
            <w:r w:rsidR="00CE4D18" w:rsidRPr="00A766F1">
              <w:rPr>
                <w:szCs w:val="18"/>
                <w:lang w:val="en-US"/>
              </w:rPr>
              <w:t>6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6C45535D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A9C0934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F19D175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C852681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B231B1F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CD462A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1AD8A9AF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364DF40A" w14:textId="77777777" w:rsidTr="00E70F20">
        <w:trPr>
          <w:trHeight w:val="567"/>
        </w:trPr>
        <w:tc>
          <w:tcPr>
            <w:tcW w:w="2972" w:type="dxa"/>
            <w:vAlign w:val="center"/>
          </w:tcPr>
          <w:p w14:paraId="6272E9AA" w14:textId="0EFF766F" w:rsidR="00EC2AC3" w:rsidRPr="00A766F1" w:rsidRDefault="00EC2AC3" w:rsidP="00F54CFE">
            <w:pPr>
              <w:spacing w:line="360" w:lineRule="auto"/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Allocation data in the log-in-area of the MAM-platform (Slide </w:t>
            </w:r>
            <w:r w:rsidR="008B2952" w:rsidRPr="00A766F1">
              <w:rPr>
                <w:szCs w:val="18"/>
                <w:lang w:val="en-US"/>
              </w:rPr>
              <w:t>17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425" w:type="dxa"/>
            <w:vAlign w:val="center"/>
          </w:tcPr>
          <w:p w14:paraId="6D7B0B07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462F771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3BB731C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493BB078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11EDC76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A06C1A2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  <w:tc>
          <w:tcPr>
            <w:tcW w:w="3367" w:type="dxa"/>
            <w:vAlign w:val="center"/>
          </w:tcPr>
          <w:p w14:paraId="203F4530" w14:textId="77777777" w:rsidR="00EC2AC3" w:rsidRPr="00A766F1" w:rsidRDefault="00EC2AC3" w:rsidP="00F54CFE">
            <w:pPr>
              <w:spacing w:line="360" w:lineRule="auto"/>
              <w:jc w:val="center"/>
              <w:rPr>
                <w:szCs w:val="18"/>
                <w:lang w:val="en-US"/>
              </w:rPr>
            </w:pPr>
          </w:p>
        </w:tc>
      </w:tr>
    </w:tbl>
    <w:p w14:paraId="679806E9" w14:textId="6B5382B2" w:rsidR="00F9007C" w:rsidRDefault="00F9007C" w:rsidP="003E3999">
      <w:pPr>
        <w:rPr>
          <w:lang w:val="en-US"/>
        </w:rPr>
      </w:pPr>
    </w:p>
    <w:p w14:paraId="7DC9E7D6" w14:textId="77777777" w:rsidR="00E70F20" w:rsidRPr="003550F4" w:rsidRDefault="00E70F20" w:rsidP="003E3999">
      <w:pPr>
        <w:rPr>
          <w:lang w:val="en-US"/>
        </w:rPr>
      </w:pPr>
    </w:p>
    <w:p w14:paraId="233C041A" w14:textId="091136DF" w:rsidR="00F46B8F" w:rsidRPr="00E70F20" w:rsidRDefault="00F46B8F" w:rsidP="008F283A">
      <w:pPr>
        <w:pStyle w:val="Listenabsatz"/>
        <w:numPr>
          <w:ilvl w:val="0"/>
          <w:numId w:val="9"/>
        </w:numPr>
        <w:autoSpaceDE w:val="0"/>
        <w:autoSpaceDN w:val="0"/>
        <w:adjustRightInd w:val="0"/>
        <w:spacing w:line="240" w:lineRule="auto"/>
        <w:ind w:left="708" w:hanging="426"/>
        <w:rPr>
          <w:lang w:val="en-US"/>
        </w:rPr>
      </w:pPr>
      <w:r w:rsidRPr="00E70F20">
        <w:rPr>
          <w:b/>
          <w:lang w:val="en-US"/>
        </w:rPr>
        <w:t>Is there a need for any other information?</w:t>
      </w:r>
      <w:r w:rsidR="00F54CFE" w:rsidRPr="00E70F20">
        <w:rPr>
          <w:b/>
          <w:lang w:val="en-US"/>
        </w:rPr>
        <w:br/>
      </w:r>
      <w:r w:rsidR="00E70F20" w:rsidRPr="00E70F20">
        <w:rPr>
          <w:rFonts w:ascii="Wingdings" w:hAnsi="Wingdings" w:cs="Wingdings"/>
          <w:sz w:val="26"/>
          <w:szCs w:val="26"/>
        </w:rPr>
        <w:t></w:t>
      </w:r>
      <w:r w:rsidR="00E70F20" w:rsidRPr="00E70F20">
        <w:rPr>
          <w:rFonts w:ascii="Wingdings" w:hAnsi="Wingdings" w:cs="Wingdings"/>
          <w:sz w:val="26"/>
          <w:szCs w:val="26"/>
        </w:rPr>
        <w:t></w:t>
      </w:r>
      <w:r w:rsidR="00E70F20" w:rsidRPr="00E70F20">
        <w:rPr>
          <w:lang w:val="en-US"/>
        </w:rPr>
        <w:t xml:space="preserve">YES       </w:t>
      </w:r>
      <w:r w:rsidR="00E70F20" w:rsidRPr="00E70F20">
        <w:rPr>
          <w:rFonts w:ascii="Wingdings" w:hAnsi="Wingdings" w:cs="Wingdings"/>
          <w:sz w:val="26"/>
          <w:szCs w:val="26"/>
        </w:rPr>
        <w:t></w:t>
      </w:r>
      <w:r w:rsidR="00E70F20" w:rsidRPr="00E70F20">
        <w:rPr>
          <w:rFonts w:ascii="Wingdings" w:hAnsi="Wingdings" w:cs="Wingdings"/>
          <w:sz w:val="26"/>
          <w:szCs w:val="26"/>
        </w:rPr>
        <w:t></w:t>
      </w:r>
      <w:r w:rsidR="00E70F20" w:rsidRPr="00E70F20">
        <w:rPr>
          <w:lang w:val="en-US"/>
        </w:rPr>
        <w:t>NO</w:t>
      </w:r>
      <w:r w:rsidR="00E70F20" w:rsidRPr="00E70F20">
        <w:rPr>
          <w:lang w:val="en-US"/>
        </w:rPr>
        <w:br/>
      </w:r>
    </w:p>
    <w:p w14:paraId="50763083" w14:textId="77777777" w:rsidR="00F46B8F" w:rsidRPr="003550F4" w:rsidRDefault="00F46B8F" w:rsidP="00F54CFE">
      <w:pPr>
        <w:pStyle w:val="Listenabsatz"/>
        <w:numPr>
          <w:ilvl w:val="0"/>
          <w:numId w:val="10"/>
        </w:numPr>
        <w:spacing w:line="720" w:lineRule="auto"/>
        <w:ind w:left="360"/>
        <w:rPr>
          <w:lang w:val="en-US"/>
        </w:rPr>
      </w:pPr>
      <w:r w:rsidRPr="003550F4">
        <w:rPr>
          <w:lang w:val="en-US"/>
        </w:rPr>
        <w:t xml:space="preserve">If YES, which other information? </w:t>
      </w:r>
      <w:r w:rsidR="00AC3B44" w:rsidRPr="003550F4">
        <w:rPr>
          <w:lang w:val="en-US"/>
        </w:rPr>
        <w:t>………………………………………………………….</w:t>
      </w:r>
    </w:p>
    <w:p w14:paraId="714DB8AC" w14:textId="2A348010" w:rsidR="008B2952" w:rsidRPr="003D5277" w:rsidRDefault="00120AFD" w:rsidP="00F54CFE">
      <w:pPr>
        <w:pStyle w:val="Listenabsatz"/>
        <w:numPr>
          <w:ilvl w:val="0"/>
          <w:numId w:val="0"/>
        </w:numPr>
        <w:spacing w:line="720" w:lineRule="auto"/>
        <w:ind w:left="360"/>
        <w:rPr>
          <w:lang w:val="en-US"/>
        </w:rPr>
      </w:pPr>
      <w:r w:rsidRPr="008B2952">
        <w:rPr>
          <w:lang w:val="en-US"/>
        </w:rPr>
        <w:t>Estimate in EUR</w:t>
      </w:r>
      <w:r w:rsidR="00512373" w:rsidRPr="008B2952">
        <w:rPr>
          <w:lang w:val="en-US"/>
        </w:rPr>
        <w:t>,</w:t>
      </w:r>
      <w:r w:rsidRPr="008B2952">
        <w:rPr>
          <w:lang w:val="en-US"/>
        </w:rPr>
        <w:t xml:space="preserve"> which costs </w:t>
      </w:r>
      <w:r w:rsidR="003F0EC4" w:rsidRPr="008B2952">
        <w:rPr>
          <w:lang w:val="en-US"/>
        </w:rPr>
        <w:t xml:space="preserve">arise </w:t>
      </w:r>
      <w:r w:rsidRPr="008B2952">
        <w:rPr>
          <w:lang w:val="en-US"/>
        </w:rPr>
        <w:t xml:space="preserve">for </w:t>
      </w:r>
      <w:r w:rsidR="008B2952" w:rsidRPr="008B2952">
        <w:rPr>
          <w:lang w:val="en-US"/>
        </w:rPr>
        <w:t>yourself</w:t>
      </w:r>
      <w:r w:rsidRPr="008B2952">
        <w:rPr>
          <w:lang w:val="en-US"/>
        </w:rPr>
        <w:t xml:space="preserve">, if you </w:t>
      </w:r>
      <w:r w:rsidR="008B2952" w:rsidRPr="008B2952">
        <w:rPr>
          <w:lang w:val="en-US"/>
        </w:rPr>
        <w:t>get this other information</w:t>
      </w:r>
      <w:r w:rsidR="008B2952">
        <w:rPr>
          <w:lang w:val="en-US"/>
        </w:rPr>
        <w:t>:</w:t>
      </w:r>
      <w:r w:rsidR="00F54CFE">
        <w:rPr>
          <w:lang w:val="en-US"/>
        </w:rPr>
        <w:t xml:space="preserve"> </w:t>
      </w:r>
      <w:r w:rsidR="004640EF">
        <w:rPr>
          <w:lang w:val="en-US"/>
        </w:rPr>
        <w:t>…</w:t>
      </w:r>
      <w:proofErr w:type="gramStart"/>
      <w:r w:rsidR="004640EF">
        <w:rPr>
          <w:lang w:val="en-US"/>
        </w:rPr>
        <w:t>.</w:t>
      </w:r>
      <w:r w:rsidR="008B2952">
        <w:rPr>
          <w:lang w:val="en-US"/>
        </w:rPr>
        <w:t>.....</w:t>
      </w:r>
      <w:r w:rsidR="008B2952" w:rsidRPr="008B2952">
        <w:rPr>
          <w:lang w:val="en-US"/>
        </w:rPr>
        <w:t>………</w:t>
      </w:r>
      <w:r w:rsidR="004640EF">
        <w:rPr>
          <w:lang w:val="en-US"/>
        </w:rPr>
        <w:t>……….</w:t>
      </w:r>
      <w:r w:rsidR="008B2952" w:rsidRPr="008B2952">
        <w:rPr>
          <w:lang w:val="en-US"/>
        </w:rPr>
        <w:t>……………………………………………</w:t>
      </w:r>
      <w:r w:rsidR="008B2952" w:rsidRPr="003D5277">
        <w:rPr>
          <w:lang w:val="en-US"/>
        </w:rPr>
        <w:t>……………………………</w:t>
      </w:r>
      <w:proofErr w:type="gramEnd"/>
    </w:p>
    <w:p w14:paraId="612FEDFA" w14:textId="449227F6" w:rsidR="00120AFD" w:rsidRPr="003550F4" w:rsidRDefault="008B2952" w:rsidP="00F54CFE">
      <w:pPr>
        <w:pStyle w:val="Listenabsatz"/>
        <w:numPr>
          <w:ilvl w:val="0"/>
          <w:numId w:val="10"/>
        </w:numPr>
        <w:spacing w:line="720" w:lineRule="auto"/>
        <w:ind w:left="360"/>
        <w:rPr>
          <w:lang w:val="en-US"/>
        </w:rPr>
      </w:pPr>
      <w:r>
        <w:rPr>
          <w:lang w:val="en-US"/>
        </w:rPr>
        <w:t xml:space="preserve">Estimate in EUR, which benefits you have, if you </w:t>
      </w:r>
      <w:r w:rsidR="00120AFD" w:rsidRPr="003550F4">
        <w:rPr>
          <w:lang w:val="en-US"/>
        </w:rPr>
        <w:t>get this other information</w:t>
      </w:r>
      <w:r>
        <w:rPr>
          <w:lang w:val="en-US"/>
        </w:rPr>
        <w:t>:</w:t>
      </w:r>
      <w:r w:rsidR="00AC3B44" w:rsidRPr="003550F4">
        <w:rPr>
          <w:lang w:val="en-US"/>
        </w:rPr>
        <w:t xml:space="preserve"> </w:t>
      </w:r>
      <w:r w:rsidR="00CC7690" w:rsidRPr="003550F4">
        <w:rPr>
          <w:lang w:val="en-US"/>
        </w:rPr>
        <w:t>………………………………………………………………………………………</w:t>
      </w:r>
      <w:r w:rsidR="00EC2AC3">
        <w:rPr>
          <w:lang w:val="en-US"/>
        </w:rPr>
        <w:t>…………</w:t>
      </w:r>
    </w:p>
    <w:p w14:paraId="06C9683D" w14:textId="0C660D53" w:rsidR="00F54CFE" w:rsidRDefault="00F54CFE">
      <w:pPr>
        <w:rPr>
          <w:lang w:val="en-US"/>
        </w:rPr>
      </w:pPr>
      <w:r>
        <w:rPr>
          <w:lang w:val="en-US"/>
        </w:rPr>
        <w:br w:type="page"/>
      </w:r>
    </w:p>
    <w:p w14:paraId="16496033" w14:textId="6798F73D" w:rsidR="00120AFD" w:rsidRPr="00A766F1" w:rsidRDefault="006E21BF" w:rsidP="00CC7C67">
      <w:pPr>
        <w:pStyle w:val="Listenabsatz"/>
        <w:numPr>
          <w:ilvl w:val="0"/>
          <w:numId w:val="9"/>
        </w:numPr>
        <w:ind w:left="284" w:hanging="426"/>
        <w:rPr>
          <w:lang w:val="en-US"/>
        </w:rPr>
      </w:pPr>
      <w:r w:rsidRPr="00A766F1">
        <w:rPr>
          <w:b/>
          <w:lang w:val="en-US"/>
        </w:rPr>
        <w:t>Is there a need for a higher frequency concerning the provided information?</w:t>
      </w:r>
      <w:r w:rsidR="00A766F1" w:rsidRPr="00A766F1">
        <w:rPr>
          <w:b/>
          <w:lang w:val="en-US"/>
        </w:rPr>
        <w:br/>
      </w:r>
      <w:r w:rsidR="00E70F20" w:rsidRPr="00A766F1">
        <w:rPr>
          <w:rFonts w:ascii="Wingdings" w:hAnsi="Wingdings" w:cs="Wingdings"/>
          <w:sz w:val="26"/>
          <w:szCs w:val="26"/>
        </w:rPr>
        <w:t></w:t>
      </w:r>
      <w:r w:rsidR="00E70F20" w:rsidRPr="00A766F1">
        <w:rPr>
          <w:rFonts w:ascii="Wingdings" w:hAnsi="Wingdings" w:cs="Wingdings"/>
          <w:sz w:val="26"/>
          <w:szCs w:val="26"/>
        </w:rPr>
        <w:t></w:t>
      </w:r>
      <w:r w:rsidR="00E70F20" w:rsidRPr="00A766F1">
        <w:rPr>
          <w:lang w:val="en-US"/>
        </w:rPr>
        <w:t xml:space="preserve">YES       </w:t>
      </w:r>
      <w:r w:rsidR="00E70F20" w:rsidRPr="00A766F1">
        <w:rPr>
          <w:rFonts w:ascii="Wingdings" w:hAnsi="Wingdings" w:cs="Wingdings"/>
          <w:sz w:val="26"/>
          <w:szCs w:val="26"/>
        </w:rPr>
        <w:t></w:t>
      </w:r>
      <w:r w:rsidR="00E70F20" w:rsidRPr="00A766F1">
        <w:rPr>
          <w:rFonts w:ascii="Wingdings" w:hAnsi="Wingdings" w:cs="Wingdings"/>
          <w:sz w:val="26"/>
          <w:szCs w:val="26"/>
        </w:rPr>
        <w:t></w:t>
      </w:r>
      <w:r w:rsidR="00E70F20" w:rsidRPr="00A766F1">
        <w:rPr>
          <w:lang w:val="en-US"/>
        </w:rPr>
        <w:t>NO</w:t>
      </w:r>
      <w:r w:rsidR="00A766F1" w:rsidRPr="00A766F1">
        <w:rPr>
          <w:lang w:val="en-US"/>
        </w:rPr>
        <w:br/>
      </w:r>
      <w:r w:rsidRPr="00A766F1">
        <w:rPr>
          <w:lang w:val="en-US"/>
        </w:rPr>
        <w:t>If YES, which information and which frequency</w:t>
      </w:r>
      <w:r w:rsidR="00CC7690" w:rsidRPr="00A766F1">
        <w:rPr>
          <w:lang w:val="en-US"/>
        </w:rPr>
        <w:t>? Please add it in the table below and e</w:t>
      </w:r>
      <w:r w:rsidR="00120AFD" w:rsidRPr="00A766F1">
        <w:rPr>
          <w:lang w:val="en-US"/>
        </w:rPr>
        <w:t xml:space="preserve">stimate in EUR, which costs </w:t>
      </w:r>
      <w:r w:rsidR="003F0EC4" w:rsidRPr="00A766F1">
        <w:rPr>
          <w:lang w:val="en-US"/>
        </w:rPr>
        <w:t>arise</w:t>
      </w:r>
      <w:r w:rsidR="00120AFD" w:rsidRPr="00A766F1">
        <w:rPr>
          <w:lang w:val="en-US"/>
        </w:rPr>
        <w:t xml:space="preserve"> for you</w:t>
      </w:r>
      <w:r w:rsidR="003D5277" w:rsidRPr="00A766F1">
        <w:rPr>
          <w:lang w:val="en-US"/>
        </w:rPr>
        <w:t>rself</w:t>
      </w:r>
      <w:r w:rsidR="00120AFD" w:rsidRPr="00A766F1">
        <w:rPr>
          <w:lang w:val="en-US"/>
        </w:rPr>
        <w:t>, if you get the information in the required frequency?</w:t>
      </w:r>
    </w:p>
    <w:p w14:paraId="17FC5467" w14:textId="77777777" w:rsidR="006E21BF" w:rsidRPr="003550F4" w:rsidRDefault="006E21BF" w:rsidP="006E21BF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5"/>
        <w:gridCol w:w="1556"/>
        <w:gridCol w:w="1553"/>
      </w:tblGrid>
      <w:tr w:rsidR="00120AFD" w:rsidRPr="003550F4" w14:paraId="18854771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463EBF05" w14:textId="77777777" w:rsidR="00120AFD" w:rsidRPr="00A766F1" w:rsidRDefault="00120AFD" w:rsidP="00265E2A">
            <w:pPr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Information</w:t>
            </w:r>
          </w:p>
        </w:tc>
        <w:tc>
          <w:tcPr>
            <w:tcW w:w="1556" w:type="dxa"/>
            <w:vAlign w:val="center"/>
          </w:tcPr>
          <w:p w14:paraId="70330738" w14:textId="77777777" w:rsidR="00120AFD" w:rsidRPr="00A766F1" w:rsidRDefault="00120AFD" w:rsidP="00265E2A">
            <w:pPr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Frequency / Updates</w:t>
            </w:r>
          </w:p>
        </w:tc>
        <w:tc>
          <w:tcPr>
            <w:tcW w:w="1553" w:type="dxa"/>
            <w:vAlign w:val="center"/>
          </w:tcPr>
          <w:p w14:paraId="70A8D877" w14:textId="77777777" w:rsidR="00120AFD" w:rsidRPr="00A766F1" w:rsidRDefault="00120AFD" w:rsidP="00265E2A">
            <w:pPr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Costs in EUR</w:t>
            </w:r>
          </w:p>
        </w:tc>
      </w:tr>
      <w:tr w:rsidR="00EC2AC3" w:rsidRPr="003550F4" w14:paraId="05B93215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4C12776B" w14:textId="79610AFA" w:rsidR="00EC2AC3" w:rsidRPr="00A766F1" w:rsidRDefault="00EC2AC3" w:rsidP="00EC2AC3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Overall status – </w:t>
            </w:r>
            <w:proofErr w:type="spellStart"/>
            <w:r w:rsidRPr="00A766F1">
              <w:rPr>
                <w:szCs w:val="18"/>
                <w:lang w:val="en-US"/>
              </w:rPr>
              <w:t>Linepack</w:t>
            </w:r>
            <w:proofErr w:type="spellEnd"/>
            <w:r w:rsidRPr="00A766F1">
              <w:rPr>
                <w:szCs w:val="18"/>
                <w:lang w:val="en-US"/>
              </w:rPr>
              <w:t xml:space="preserve"> (Slide 7)</w:t>
            </w:r>
          </w:p>
        </w:tc>
        <w:tc>
          <w:tcPr>
            <w:tcW w:w="1556" w:type="dxa"/>
            <w:vAlign w:val="center"/>
          </w:tcPr>
          <w:p w14:paraId="7B7C14A4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6230D070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6475D3B2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2CC2F77E" w14:textId="33F3BBC3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Overall status – Market Area Balance (Slide </w:t>
            </w:r>
            <w:r w:rsidR="008B2952" w:rsidRPr="00A766F1">
              <w:rPr>
                <w:szCs w:val="18"/>
                <w:lang w:val="en-US"/>
              </w:rPr>
              <w:t>8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4E9D6886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07BFCF06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21E7108B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17474E8D" w14:textId="28770281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Report on the </w:t>
            </w:r>
            <w:proofErr w:type="spellStart"/>
            <w:r w:rsidRPr="00A766F1">
              <w:rPr>
                <w:szCs w:val="18"/>
                <w:lang w:val="en-US"/>
              </w:rPr>
              <w:t>balacing</w:t>
            </w:r>
            <w:proofErr w:type="spellEnd"/>
            <w:r w:rsidRPr="00A766F1">
              <w:rPr>
                <w:szCs w:val="18"/>
                <w:lang w:val="en-US"/>
              </w:rPr>
              <w:t xml:space="preserve"> incentive markups (Slide </w:t>
            </w:r>
            <w:r w:rsidR="008B2952" w:rsidRPr="00A766F1">
              <w:rPr>
                <w:szCs w:val="18"/>
                <w:lang w:val="en-US"/>
              </w:rPr>
              <w:t>9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259D2681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18DAEDF2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3550F4" w14:paraId="71529B13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38725DBE" w14:textId="78A7E075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MAM balancing (Slide 1</w:t>
            </w:r>
            <w:r w:rsidR="008B2952" w:rsidRPr="00A766F1">
              <w:rPr>
                <w:szCs w:val="18"/>
                <w:lang w:val="en-US"/>
              </w:rPr>
              <w:t>0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1683132C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3D834DF6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35AE3EE9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09141766" w14:textId="5B5AE149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MAM within-day-balancing (Slide 1</w:t>
            </w:r>
            <w:r w:rsidR="008B2952" w:rsidRPr="00A766F1">
              <w:rPr>
                <w:szCs w:val="18"/>
                <w:lang w:val="en-US"/>
              </w:rPr>
              <w:t>1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62D26251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3C12BB75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4ED30AA4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78B04E74" w14:textId="4881A63B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Forecasts and updates for Intraday metered inputs/off-takes acc. to Art. 34 (Slide 1</w:t>
            </w:r>
            <w:r w:rsidR="008B2952" w:rsidRPr="00A766F1">
              <w:rPr>
                <w:szCs w:val="18"/>
                <w:lang w:val="en-US"/>
              </w:rPr>
              <w:t>3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1EBEA1DE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12548084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14079D69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114C0262" w14:textId="30D2F0D0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Forecasts and updates for NDM off-takes acc. to Art. 36 (Slide 1</w:t>
            </w:r>
            <w:r w:rsidR="008B2952" w:rsidRPr="00A766F1">
              <w:rPr>
                <w:szCs w:val="18"/>
                <w:lang w:val="en-US"/>
              </w:rPr>
              <w:t>5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2C04240C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35E7ADE9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11C80492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032E8FDA" w14:textId="276D2B10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Information concerning initial allocations and initial imbalances acc. to Art 37 (Slide 1</w:t>
            </w:r>
            <w:r w:rsidR="008B2952" w:rsidRPr="00A766F1">
              <w:rPr>
                <w:szCs w:val="18"/>
                <w:lang w:val="en-US"/>
              </w:rPr>
              <w:t>6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2C515558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4743DED2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1256CFE5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41640631" w14:textId="2219D3F0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Information concerning final allocations and final imbalances acc. to Art. 37 (Slide 1</w:t>
            </w:r>
            <w:r w:rsidR="008B2952" w:rsidRPr="00A766F1">
              <w:rPr>
                <w:szCs w:val="18"/>
                <w:lang w:val="en-US"/>
              </w:rPr>
              <w:t>6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354E65A3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1B9DDDE8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64DFAB9E" w14:textId="77777777" w:rsidTr="00A766F1">
        <w:trPr>
          <w:trHeight w:hRule="exact" w:val="425"/>
        </w:trPr>
        <w:tc>
          <w:tcPr>
            <w:tcW w:w="6065" w:type="dxa"/>
            <w:vAlign w:val="center"/>
          </w:tcPr>
          <w:p w14:paraId="27724A07" w14:textId="53E470D5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Allocation data in the log-in-area of the MAM-platform (Slide </w:t>
            </w:r>
            <w:r w:rsidR="008B2952" w:rsidRPr="00A766F1">
              <w:rPr>
                <w:szCs w:val="18"/>
                <w:lang w:val="en-US"/>
              </w:rPr>
              <w:t>17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668EAD1B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0A93D85A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</w:tbl>
    <w:p w14:paraId="73C7ABB4" w14:textId="360A67AF" w:rsidR="00A766F1" w:rsidRDefault="00A766F1" w:rsidP="00120AFD">
      <w:pPr>
        <w:rPr>
          <w:lang w:val="en-US"/>
        </w:rPr>
      </w:pPr>
    </w:p>
    <w:p w14:paraId="4838635D" w14:textId="7FD52CD6" w:rsidR="00A766F1" w:rsidRDefault="00A766F1">
      <w:pPr>
        <w:rPr>
          <w:lang w:val="en-US"/>
        </w:rPr>
      </w:pPr>
    </w:p>
    <w:p w14:paraId="63FFE176" w14:textId="54A87729" w:rsidR="00120AFD" w:rsidRPr="00A766F1" w:rsidRDefault="00120AFD" w:rsidP="00806017">
      <w:pPr>
        <w:pStyle w:val="Listenabsatz"/>
        <w:numPr>
          <w:ilvl w:val="0"/>
          <w:numId w:val="9"/>
        </w:numPr>
        <w:ind w:left="284" w:hanging="426"/>
        <w:rPr>
          <w:lang w:val="en-US"/>
        </w:rPr>
      </w:pPr>
      <w:r w:rsidRPr="00A766F1">
        <w:rPr>
          <w:b/>
          <w:lang w:val="en-US"/>
        </w:rPr>
        <w:t>Is there a need for another timeline concerning the information provision?</w:t>
      </w:r>
      <w:r w:rsidR="00A766F1" w:rsidRPr="00A766F1">
        <w:rPr>
          <w:b/>
          <w:lang w:val="en-US"/>
        </w:rPr>
        <w:br/>
      </w:r>
      <w:r w:rsidR="00E70F20" w:rsidRPr="00A766F1">
        <w:rPr>
          <w:rFonts w:ascii="Wingdings" w:hAnsi="Wingdings" w:cs="Wingdings"/>
          <w:sz w:val="26"/>
          <w:szCs w:val="26"/>
        </w:rPr>
        <w:t></w:t>
      </w:r>
      <w:r w:rsidR="00E70F20" w:rsidRPr="00A766F1">
        <w:rPr>
          <w:rFonts w:ascii="Wingdings" w:hAnsi="Wingdings" w:cs="Wingdings"/>
          <w:sz w:val="26"/>
          <w:szCs w:val="26"/>
        </w:rPr>
        <w:t></w:t>
      </w:r>
      <w:r w:rsidR="00E70F20" w:rsidRPr="00A766F1">
        <w:rPr>
          <w:lang w:val="en-US"/>
        </w:rPr>
        <w:t xml:space="preserve">YES       </w:t>
      </w:r>
      <w:r w:rsidR="00E70F20" w:rsidRPr="00A766F1">
        <w:rPr>
          <w:rFonts w:ascii="Wingdings" w:hAnsi="Wingdings" w:cs="Wingdings"/>
          <w:sz w:val="26"/>
          <w:szCs w:val="26"/>
        </w:rPr>
        <w:t></w:t>
      </w:r>
      <w:r w:rsidR="00E70F20" w:rsidRPr="00A766F1">
        <w:rPr>
          <w:rFonts w:ascii="Wingdings" w:hAnsi="Wingdings" w:cs="Wingdings"/>
          <w:sz w:val="26"/>
          <w:szCs w:val="26"/>
        </w:rPr>
        <w:t></w:t>
      </w:r>
      <w:r w:rsidR="00E70F20" w:rsidRPr="00A766F1">
        <w:rPr>
          <w:lang w:val="en-US"/>
        </w:rPr>
        <w:t>NO</w:t>
      </w:r>
      <w:r w:rsidR="00A766F1" w:rsidRPr="00A766F1">
        <w:rPr>
          <w:lang w:val="en-US"/>
        </w:rPr>
        <w:br/>
      </w:r>
      <w:r w:rsidRPr="00A766F1">
        <w:rPr>
          <w:lang w:val="en-US"/>
        </w:rPr>
        <w:t xml:space="preserve">If YES, which information and </w:t>
      </w:r>
      <w:r w:rsidR="00A51DDB" w:rsidRPr="00A766F1">
        <w:rPr>
          <w:lang w:val="en-US"/>
        </w:rPr>
        <w:t>at which point of time</w:t>
      </w:r>
      <w:r w:rsidRPr="00A766F1">
        <w:rPr>
          <w:lang w:val="en-US"/>
        </w:rPr>
        <w:t>?</w:t>
      </w:r>
      <w:r w:rsidR="00CC7690" w:rsidRPr="00A766F1">
        <w:rPr>
          <w:lang w:val="en-US"/>
        </w:rPr>
        <w:t xml:space="preserve"> Please add it in the table below and estimate, </w:t>
      </w:r>
      <w:r w:rsidR="003F0EC4" w:rsidRPr="00A766F1">
        <w:rPr>
          <w:lang w:val="en-US"/>
        </w:rPr>
        <w:t>which costs arise</w:t>
      </w:r>
      <w:r w:rsidRPr="00A766F1">
        <w:rPr>
          <w:lang w:val="en-US"/>
        </w:rPr>
        <w:t xml:space="preserve"> for you</w:t>
      </w:r>
      <w:r w:rsidR="003D5277" w:rsidRPr="00A766F1">
        <w:rPr>
          <w:lang w:val="en-US"/>
        </w:rPr>
        <w:t>rself</w:t>
      </w:r>
      <w:r w:rsidRPr="00A766F1">
        <w:rPr>
          <w:lang w:val="en-US"/>
        </w:rPr>
        <w:t>, if you get the information at the required point of time?</w:t>
      </w:r>
    </w:p>
    <w:p w14:paraId="6A796553" w14:textId="77777777" w:rsidR="00120AFD" w:rsidRPr="003550F4" w:rsidRDefault="00120AFD" w:rsidP="00120AFD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5"/>
        <w:gridCol w:w="1556"/>
        <w:gridCol w:w="1553"/>
      </w:tblGrid>
      <w:tr w:rsidR="00120AFD" w:rsidRPr="003550F4" w14:paraId="4EA5102F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4E310BDA" w14:textId="77777777" w:rsidR="00120AFD" w:rsidRPr="00A766F1" w:rsidRDefault="00120AFD" w:rsidP="00265E2A">
            <w:pPr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Information</w:t>
            </w:r>
          </w:p>
        </w:tc>
        <w:tc>
          <w:tcPr>
            <w:tcW w:w="1556" w:type="dxa"/>
            <w:vAlign w:val="center"/>
          </w:tcPr>
          <w:p w14:paraId="4AA076D9" w14:textId="77777777" w:rsidR="00120AFD" w:rsidRPr="00A766F1" w:rsidRDefault="00120AFD" w:rsidP="00265E2A">
            <w:pPr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Provision at … o’clock</w:t>
            </w:r>
          </w:p>
        </w:tc>
        <w:tc>
          <w:tcPr>
            <w:tcW w:w="1553" w:type="dxa"/>
            <w:vAlign w:val="center"/>
          </w:tcPr>
          <w:p w14:paraId="08FC35B5" w14:textId="77777777" w:rsidR="00120AFD" w:rsidRPr="00A766F1" w:rsidRDefault="00120AFD" w:rsidP="00265E2A">
            <w:pPr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Costs in EUR</w:t>
            </w:r>
          </w:p>
        </w:tc>
      </w:tr>
      <w:tr w:rsidR="00EC2AC3" w:rsidRPr="003550F4" w14:paraId="07302218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2D6AB417" w14:textId="056DDF26" w:rsidR="00EC2AC3" w:rsidRPr="00A766F1" w:rsidRDefault="00EC2AC3" w:rsidP="00EC2AC3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Overall status – </w:t>
            </w:r>
            <w:proofErr w:type="spellStart"/>
            <w:r w:rsidRPr="00A766F1">
              <w:rPr>
                <w:szCs w:val="18"/>
                <w:lang w:val="en-US"/>
              </w:rPr>
              <w:t>Linepack</w:t>
            </w:r>
            <w:proofErr w:type="spellEnd"/>
            <w:r w:rsidRPr="00A766F1">
              <w:rPr>
                <w:szCs w:val="18"/>
                <w:lang w:val="en-US"/>
              </w:rPr>
              <w:t xml:space="preserve"> (Slide 7)</w:t>
            </w:r>
          </w:p>
        </w:tc>
        <w:tc>
          <w:tcPr>
            <w:tcW w:w="1556" w:type="dxa"/>
            <w:vAlign w:val="center"/>
          </w:tcPr>
          <w:p w14:paraId="718BA819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15BCCDCE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441A7B2F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5C98A66B" w14:textId="36A53FDE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Overall status – Market Area Balance (Slide </w:t>
            </w:r>
            <w:r w:rsidR="008B2952" w:rsidRPr="00A766F1">
              <w:rPr>
                <w:szCs w:val="18"/>
                <w:lang w:val="en-US"/>
              </w:rPr>
              <w:t>8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67353D72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008331CF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72038D8C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46F4A1A0" w14:textId="7C8FF858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Report on the </w:t>
            </w:r>
            <w:proofErr w:type="spellStart"/>
            <w:r w:rsidRPr="00A766F1">
              <w:rPr>
                <w:szCs w:val="18"/>
                <w:lang w:val="en-US"/>
              </w:rPr>
              <w:t>balacing</w:t>
            </w:r>
            <w:proofErr w:type="spellEnd"/>
            <w:r w:rsidRPr="00A766F1">
              <w:rPr>
                <w:szCs w:val="18"/>
                <w:lang w:val="en-US"/>
              </w:rPr>
              <w:t xml:space="preserve"> incentive markups (Slide </w:t>
            </w:r>
            <w:r w:rsidR="008B2952" w:rsidRPr="00A766F1">
              <w:rPr>
                <w:szCs w:val="18"/>
                <w:lang w:val="en-US"/>
              </w:rPr>
              <w:t>9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31E95D7A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60B3EFCE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3550F4" w14:paraId="3A87640D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0D5A1A4A" w14:textId="3A3739DC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MAM balancing (Slide 1</w:t>
            </w:r>
            <w:r w:rsidR="008B2952" w:rsidRPr="00A766F1">
              <w:rPr>
                <w:szCs w:val="18"/>
                <w:lang w:val="en-US"/>
              </w:rPr>
              <w:t>0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54AF480C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636BD2EB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7E6EA531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77162907" w14:textId="73B38A5B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MAM within-day-balancing (Slide </w:t>
            </w:r>
            <w:r w:rsidR="008B2952" w:rsidRPr="00A766F1">
              <w:rPr>
                <w:szCs w:val="18"/>
                <w:lang w:val="en-US"/>
              </w:rPr>
              <w:t>1</w:t>
            </w:r>
            <w:r w:rsidRPr="00A766F1">
              <w:rPr>
                <w:szCs w:val="18"/>
                <w:lang w:val="en-US"/>
              </w:rPr>
              <w:t>1)</w:t>
            </w:r>
          </w:p>
        </w:tc>
        <w:tc>
          <w:tcPr>
            <w:tcW w:w="1556" w:type="dxa"/>
            <w:vAlign w:val="center"/>
          </w:tcPr>
          <w:p w14:paraId="2830D75F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74C32BA7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2A00CA9B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75C44EFF" w14:textId="49CFB24E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Forecasts and updates for Intraday metered inputs/off-takes acc. to Art. 34 (Slide 1</w:t>
            </w:r>
            <w:r w:rsidR="008B2952" w:rsidRPr="00A766F1">
              <w:rPr>
                <w:szCs w:val="18"/>
                <w:lang w:val="en-US"/>
              </w:rPr>
              <w:t>3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071772C5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299A92DC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77728665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7B695720" w14:textId="3FF82DE2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Forecasts and updates for NDM off-takes acc. to Art. 36 (Slide 1</w:t>
            </w:r>
            <w:r w:rsidR="008B2952" w:rsidRPr="00A766F1">
              <w:rPr>
                <w:szCs w:val="18"/>
                <w:lang w:val="en-US"/>
              </w:rPr>
              <w:t>5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13405705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26571FFA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38FC3C32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7F9AC2F4" w14:textId="2F04FEE2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Information concerning initial allocations and initial imbalances acc. to Art 37 (Slide 1</w:t>
            </w:r>
            <w:r w:rsidR="008B2952" w:rsidRPr="00A766F1">
              <w:rPr>
                <w:szCs w:val="18"/>
                <w:lang w:val="en-US"/>
              </w:rPr>
              <w:t>6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6F360AFE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075091F6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785231EC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3F9E1BFC" w14:textId="6DB2FE63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>Information concerning final allocations and final imbalances acc. to Art. 37 (Slide 1</w:t>
            </w:r>
            <w:r w:rsidR="008B2952" w:rsidRPr="00A766F1">
              <w:rPr>
                <w:szCs w:val="18"/>
                <w:lang w:val="en-US"/>
              </w:rPr>
              <w:t>6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2FA479E0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53E44C5B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  <w:tr w:rsidR="00EC2AC3" w:rsidRPr="00E70F20" w14:paraId="28F829B8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04521609" w14:textId="06D61773" w:rsidR="00EC2AC3" w:rsidRPr="00A766F1" w:rsidRDefault="00EC2AC3" w:rsidP="008B2952">
            <w:pPr>
              <w:rPr>
                <w:szCs w:val="18"/>
                <w:lang w:val="en-US"/>
              </w:rPr>
            </w:pPr>
            <w:r w:rsidRPr="00A766F1">
              <w:rPr>
                <w:szCs w:val="18"/>
                <w:lang w:val="en-US"/>
              </w:rPr>
              <w:t xml:space="preserve">Allocation data in the log-in-area of the MAM-platform (Slide </w:t>
            </w:r>
            <w:r w:rsidR="008B2952" w:rsidRPr="00A766F1">
              <w:rPr>
                <w:szCs w:val="18"/>
                <w:lang w:val="en-US"/>
              </w:rPr>
              <w:t>17</w:t>
            </w:r>
            <w:r w:rsidRPr="00A766F1">
              <w:rPr>
                <w:szCs w:val="18"/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5C240EF1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6E5E0BD0" w14:textId="77777777" w:rsidR="00EC2AC3" w:rsidRPr="00A766F1" w:rsidRDefault="00EC2AC3" w:rsidP="00EC2AC3">
            <w:pPr>
              <w:jc w:val="center"/>
              <w:rPr>
                <w:szCs w:val="18"/>
                <w:lang w:val="en-US"/>
              </w:rPr>
            </w:pPr>
          </w:p>
        </w:tc>
      </w:tr>
    </w:tbl>
    <w:p w14:paraId="536534C2" w14:textId="33498AFD" w:rsidR="00E70F20" w:rsidRDefault="00E70F20" w:rsidP="00120AFD">
      <w:pPr>
        <w:rPr>
          <w:lang w:val="en-US"/>
        </w:rPr>
      </w:pPr>
    </w:p>
    <w:p w14:paraId="2765CA8D" w14:textId="77777777" w:rsidR="00E70F20" w:rsidRDefault="00E70F20">
      <w:pPr>
        <w:rPr>
          <w:lang w:val="en-US"/>
        </w:rPr>
      </w:pPr>
      <w:r>
        <w:rPr>
          <w:lang w:val="en-US"/>
        </w:rPr>
        <w:br w:type="page"/>
      </w:r>
    </w:p>
    <w:p w14:paraId="6CA5EA2A" w14:textId="77777777" w:rsidR="00CC7690" w:rsidRPr="003550F4" w:rsidRDefault="00A51DDB" w:rsidP="00240DF6">
      <w:pPr>
        <w:pStyle w:val="Listenabsatz"/>
        <w:numPr>
          <w:ilvl w:val="0"/>
          <w:numId w:val="9"/>
        </w:numPr>
        <w:ind w:left="426" w:hanging="426"/>
        <w:rPr>
          <w:b/>
          <w:lang w:val="en-US"/>
        </w:rPr>
      </w:pPr>
      <w:r w:rsidRPr="003550F4">
        <w:rPr>
          <w:b/>
          <w:lang w:val="en-US"/>
        </w:rPr>
        <w:t xml:space="preserve">Is there a need for improving accuracy concerning the information provision? </w:t>
      </w:r>
    </w:p>
    <w:p w14:paraId="2D249DD4" w14:textId="3FC7E5F2" w:rsidR="00CC7690" w:rsidRPr="00A766F1" w:rsidRDefault="00E70F20" w:rsidP="00A766F1">
      <w:pPr>
        <w:ind w:left="284"/>
        <w:rPr>
          <w:lang w:val="en-US"/>
        </w:rPr>
      </w:pPr>
      <w:r w:rsidRPr="00A766F1">
        <w:rPr>
          <w:rFonts w:ascii="Wingdings" w:hAnsi="Wingdings" w:cs="Wingdings"/>
          <w:sz w:val="26"/>
          <w:szCs w:val="26"/>
        </w:rPr>
        <w:t></w:t>
      </w:r>
      <w:r w:rsidRPr="00A766F1">
        <w:rPr>
          <w:rFonts w:ascii="Wingdings" w:hAnsi="Wingdings" w:cs="Wingdings"/>
          <w:sz w:val="26"/>
          <w:szCs w:val="26"/>
        </w:rPr>
        <w:t></w:t>
      </w:r>
      <w:r w:rsidRPr="00A766F1">
        <w:rPr>
          <w:lang w:val="en-US"/>
        </w:rPr>
        <w:t xml:space="preserve">YES       </w:t>
      </w:r>
      <w:r w:rsidRPr="00A766F1">
        <w:rPr>
          <w:rFonts w:ascii="Wingdings" w:hAnsi="Wingdings" w:cs="Wingdings"/>
          <w:sz w:val="26"/>
          <w:szCs w:val="26"/>
        </w:rPr>
        <w:t></w:t>
      </w:r>
      <w:r w:rsidRPr="00A766F1">
        <w:rPr>
          <w:rFonts w:ascii="Wingdings" w:hAnsi="Wingdings" w:cs="Wingdings"/>
          <w:sz w:val="26"/>
          <w:szCs w:val="26"/>
        </w:rPr>
        <w:t></w:t>
      </w:r>
      <w:r w:rsidRPr="00A766F1">
        <w:rPr>
          <w:lang w:val="en-US"/>
        </w:rPr>
        <w:t>NO</w:t>
      </w:r>
      <w:r w:rsidRPr="00A766F1">
        <w:rPr>
          <w:lang w:val="en-US"/>
        </w:rPr>
        <w:br/>
      </w:r>
      <w:r w:rsidR="00CC7690" w:rsidRPr="00A766F1">
        <w:rPr>
          <w:lang w:val="en-US"/>
        </w:rPr>
        <w:t>If YES, which information and explain the required accuracy in the table below and estimate, which costs ar</w:t>
      </w:r>
      <w:r w:rsidR="003F0EC4" w:rsidRPr="00A766F1">
        <w:rPr>
          <w:lang w:val="en-US"/>
        </w:rPr>
        <w:t>ise</w:t>
      </w:r>
      <w:r w:rsidR="00CC7690" w:rsidRPr="00A766F1">
        <w:rPr>
          <w:lang w:val="en-US"/>
        </w:rPr>
        <w:t xml:space="preserve"> for you</w:t>
      </w:r>
      <w:r w:rsidR="003D5277" w:rsidRPr="00A766F1">
        <w:rPr>
          <w:lang w:val="en-US"/>
        </w:rPr>
        <w:t>rself</w:t>
      </w:r>
      <w:r w:rsidR="00CC7690" w:rsidRPr="00A766F1">
        <w:rPr>
          <w:lang w:val="en-US"/>
        </w:rPr>
        <w:t>, if you get the information in the required accuracy?</w:t>
      </w:r>
    </w:p>
    <w:p w14:paraId="70C78B01" w14:textId="77777777" w:rsidR="00CC7690" w:rsidRPr="003550F4" w:rsidRDefault="00CC7690" w:rsidP="00CC7690">
      <w:pPr>
        <w:pStyle w:val="Listenabsatz"/>
        <w:numPr>
          <w:ilvl w:val="0"/>
          <w:numId w:val="0"/>
        </w:numPr>
        <w:ind w:left="426"/>
        <w:rPr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065"/>
        <w:gridCol w:w="1556"/>
        <w:gridCol w:w="1553"/>
      </w:tblGrid>
      <w:tr w:rsidR="00A51DDB" w:rsidRPr="003550F4" w14:paraId="6F1FFA51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322CA006" w14:textId="77777777" w:rsidR="00A51DDB" w:rsidRPr="00A766F1" w:rsidRDefault="00A51DDB" w:rsidP="00C662E5">
            <w:pPr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Information</w:t>
            </w:r>
          </w:p>
        </w:tc>
        <w:tc>
          <w:tcPr>
            <w:tcW w:w="1556" w:type="dxa"/>
            <w:vAlign w:val="center"/>
          </w:tcPr>
          <w:p w14:paraId="7503C6FD" w14:textId="77777777" w:rsidR="00A51DDB" w:rsidRPr="00A766F1" w:rsidRDefault="00CC7690" w:rsidP="00C662E5">
            <w:pPr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Change of accuracy necessary because…</w:t>
            </w:r>
          </w:p>
        </w:tc>
        <w:tc>
          <w:tcPr>
            <w:tcW w:w="1553" w:type="dxa"/>
            <w:vAlign w:val="center"/>
          </w:tcPr>
          <w:p w14:paraId="2CF5DCAF" w14:textId="77777777" w:rsidR="00A51DDB" w:rsidRPr="00A766F1" w:rsidRDefault="00A51DDB" w:rsidP="00C662E5">
            <w:pPr>
              <w:jc w:val="center"/>
              <w:rPr>
                <w:b/>
                <w:szCs w:val="18"/>
                <w:lang w:val="en-US"/>
              </w:rPr>
            </w:pPr>
            <w:r w:rsidRPr="00A766F1">
              <w:rPr>
                <w:b/>
                <w:szCs w:val="18"/>
                <w:lang w:val="en-US"/>
              </w:rPr>
              <w:t>Costs in EUR</w:t>
            </w:r>
          </w:p>
        </w:tc>
      </w:tr>
      <w:tr w:rsidR="00EC2AC3" w:rsidRPr="003550F4" w14:paraId="0D081CE9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0CE738B0" w14:textId="27B5FBBE" w:rsidR="00EC2AC3" w:rsidRPr="003550F4" w:rsidRDefault="00EC2AC3" w:rsidP="00EC2AC3">
            <w:pPr>
              <w:rPr>
                <w:lang w:val="en-US"/>
              </w:rPr>
            </w:pPr>
            <w:r w:rsidRPr="003550F4">
              <w:rPr>
                <w:lang w:val="en-US"/>
              </w:rPr>
              <w:t xml:space="preserve">Overall status – </w:t>
            </w:r>
            <w:proofErr w:type="spellStart"/>
            <w:r w:rsidRPr="003550F4">
              <w:rPr>
                <w:lang w:val="en-US"/>
              </w:rPr>
              <w:t>Linepack</w:t>
            </w:r>
            <w:proofErr w:type="spellEnd"/>
            <w:r>
              <w:rPr>
                <w:lang w:val="en-US"/>
              </w:rPr>
              <w:t xml:space="preserve"> (Slide 7)</w:t>
            </w:r>
          </w:p>
        </w:tc>
        <w:tc>
          <w:tcPr>
            <w:tcW w:w="1556" w:type="dxa"/>
            <w:vAlign w:val="center"/>
          </w:tcPr>
          <w:p w14:paraId="1D767AA0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654B18ED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E70F20" w14:paraId="043AD27F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27046E25" w14:textId="7E7D5A85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>Overall status – Market Area Balance</w:t>
            </w:r>
            <w:r>
              <w:rPr>
                <w:lang w:val="en-US"/>
              </w:rPr>
              <w:t xml:space="preserve"> (Slide </w:t>
            </w:r>
            <w:r w:rsidR="008B2952">
              <w:rPr>
                <w:lang w:val="en-US"/>
              </w:rPr>
              <w:t>8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70024C24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233004F4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E70F20" w14:paraId="35EE6FEC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1710DBF2" w14:textId="2A06A3AB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 xml:space="preserve">Report on the </w:t>
            </w:r>
            <w:proofErr w:type="spellStart"/>
            <w:r w:rsidRPr="003550F4">
              <w:rPr>
                <w:lang w:val="en-US"/>
              </w:rPr>
              <w:t>balacing</w:t>
            </w:r>
            <w:proofErr w:type="spellEnd"/>
            <w:r w:rsidRPr="003550F4">
              <w:rPr>
                <w:lang w:val="en-US"/>
              </w:rPr>
              <w:t xml:space="preserve"> incentive markups</w:t>
            </w:r>
            <w:r>
              <w:rPr>
                <w:lang w:val="en-US"/>
              </w:rPr>
              <w:t xml:space="preserve"> (Slide </w:t>
            </w:r>
            <w:r w:rsidR="008B2952">
              <w:rPr>
                <w:lang w:val="en-US"/>
              </w:rPr>
              <w:t>9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7CD28B8E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3440D314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3550F4" w14:paraId="484DEE36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5266B8B0" w14:textId="5BC19AA1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>MAM balancing</w:t>
            </w:r>
            <w:r>
              <w:rPr>
                <w:lang w:val="en-US"/>
              </w:rPr>
              <w:t xml:space="preserve"> (Slide 1</w:t>
            </w:r>
            <w:r w:rsidR="008B2952">
              <w:rPr>
                <w:lang w:val="en-US"/>
              </w:rPr>
              <w:t>0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49C82854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1EC00A0A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E70F20" w14:paraId="28C73D75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6B4F1D3A" w14:textId="2D560594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>MAM within-day-balancing</w:t>
            </w:r>
            <w:r>
              <w:rPr>
                <w:lang w:val="en-US"/>
              </w:rPr>
              <w:t xml:space="preserve"> (Slide 1</w:t>
            </w:r>
            <w:r w:rsidR="008B2952">
              <w:rPr>
                <w:lang w:val="en-US"/>
              </w:rPr>
              <w:t>1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55213913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7697633E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E70F20" w14:paraId="238E030E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13EBA5E4" w14:textId="5820D89A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 xml:space="preserve">Forecasts and updates for Intraday metered inputs/off-takes acc. </w:t>
            </w:r>
            <w:r>
              <w:rPr>
                <w:lang w:val="en-US"/>
              </w:rPr>
              <w:t xml:space="preserve">to </w:t>
            </w:r>
            <w:r w:rsidRPr="003550F4">
              <w:rPr>
                <w:lang w:val="en-US"/>
              </w:rPr>
              <w:t>Art. 34</w:t>
            </w:r>
            <w:r>
              <w:rPr>
                <w:lang w:val="en-US"/>
              </w:rPr>
              <w:t xml:space="preserve"> (Slide 1</w:t>
            </w:r>
            <w:r w:rsidR="008B2952">
              <w:rPr>
                <w:lang w:val="en-US"/>
              </w:rPr>
              <w:t>3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5247CC9B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278139AA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E70F20" w14:paraId="5998EF92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237EA619" w14:textId="7F2283FA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 xml:space="preserve">Forecasts and updates for NDM off-takes acc. </w:t>
            </w:r>
            <w:r>
              <w:rPr>
                <w:lang w:val="en-US"/>
              </w:rPr>
              <w:t xml:space="preserve">to </w:t>
            </w:r>
            <w:r w:rsidRPr="003550F4">
              <w:rPr>
                <w:lang w:val="en-US"/>
              </w:rPr>
              <w:t>Art. 36</w:t>
            </w:r>
            <w:r>
              <w:rPr>
                <w:lang w:val="en-US"/>
              </w:rPr>
              <w:t xml:space="preserve"> (Slide 1</w:t>
            </w:r>
            <w:r w:rsidR="008B2952">
              <w:rPr>
                <w:lang w:val="en-US"/>
              </w:rPr>
              <w:t>5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4CB6BF95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19E0A14E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E70F20" w14:paraId="690E5222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34361CA6" w14:textId="6A2E0D92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 xml:space="preserve">Information concerning initial allocations and initial imbalances acc. </w:t>
            </w:r>
            <w:r>
              <w:rPr>
                <w:lang w:val="en-US"/>
              </w:rPr>
              <w:t xml:space="preserve">to </w:t>
            </w:r>
            <w:r w:rsidRPr="003550F4">
              <w:rPr>
                <w:lang w:val="en-US"/>
              </w:rPr>
              <w:t>Art 37</w:t>
            </w:r>
            <w:r>
              <w:rPr>
                <w:lang w:val="en-US"/>
              </w:rPr>
              <w:t xml:space="preserve"> (Slide 1</w:t>
            </w:r>
            <w:r w:rsidR="008B2952">
              <w:rPr>
                <w:lang w:val="en-US"/>
              </w:rPr>
              <w:t>6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1AF5D79C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645D4433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E70F20" w14:paraId="0FC06E5D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5BEAE051" w14:textId="03CB8EB5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 xml:space="preserve">Information concerning final allocations and final imbalances acc. </w:t>
            </w:r>
            <w:r>
              <w:rPr>
                <w:lang w:val="en-US"/>
              </w:rPr>
              <w:t xml:space="preserve">to </w:t>
            </w:r>
            <w:r w:rsidRPr="003550F4">
              <w:rPr>
                <w:lang w:val="en-US"/>
              </w:rPr>
              <w:t>Art. 37</w:t>
            </w:r>
            <w:r>
              <w:rPr>
                <w:lang w:val="en-US"/>
              </w:rPr>
              <w:t xml:space="preserve"> (Slide 1</w:t>
            </w:r>
            <w:r w:rsidR="008B2952">
              <w:rPr>
                <w:lang w:val="en-US"/>
              </w:rPr>
              <w:t>6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5CAC7D68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6053F3E4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  <w:tr w:rsidR="00EC2AC3" w:rsidRPr="00E70F20" w14:paraId="742097FE" w14:textId="77777777" w:rsidTr="00A766F1">
        <w:trPr>
          <w:trHeight w:val="425"/>
        </w:trPr>
        <w:tc>
          <w:tcPr>
            <w:tcW w:w="6065" w:type="dxa"/>
            <w:vAlign w:val="center"/>
          </w:tcPr>
          <w:p w14:paraId="689BB883" w14:textId="332E621D" w:rsidR="00EC2AC3" w:rsidRPr="003550F4" w:rsidRDefault="00EC2AC3" w:rsidP="008B2952">
            <w:pPr>
              <w:rPr>
                <w:lang w:val="en-US"/>
              </w:rPr>
            </w:pPr>
            <w:r w:rsidRPr="003550F4">
              <w:rPr>
                <w:lang w:val="en-US"/>
              </w:rPr>
              <w:t>Allocation data in the log-in-area of the MAM-platform</w:t>
            </w:r>
            <w:r>
              <w:rPr>
                <w:lang w:val="en-US"/>
              </w:rPr>
              <w:t xml:space="preserve"> (Slide </w:t>
            </w:r>
            <w:r w:rsidR="008B2952">
              <w:rPr>
                <w:lang w:val="en-US"/>
              </w:rPr>
              <w:t>17</w:t>
            </w:r>
            <w:r>
              <w:rPr>
                <w:lang w:val="en-US"/>
              </w:rPr>
              <w:t>)</w:t>
            </w:r>
          </w:p>
        </w:tc>
        <w:tc>
          <w:tcPr>
            <w:tcW w:w="1556" w:type="dxa"/>
            <w:vAlign w:val="center"/>
          </w:tcPr>
          <w:p w14:paraId="39025BD2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  <w:tc>
          <w:tcPr>
            <w:tcW w:w="1553" w:type="dxa"/>
            <w:vAlign w:val="center"/>
          </w:tcPr>
          <w:p w14:paraId="2A896626" w14:textId="77777777" w:rsidR="00EC2AC3" w:rsidRPr="003550F4" w:rsidRDefault="00EC2AC3" w:rsidP="00EC2AC3">
            <w:pPr>
              <w:jc w:val="center"/>
              <w:rPr>
                <w:lang w:val="en-US"/>
              </w:rPr>
            </w:pPr>
          </w:p>
        </w:tc>
      </w:tr>
    </w:tbl>
    <w:p w14:paraId="2173E376" w14:textId="77777777" w:rsidR="00A51DDB" w:rsidRPr="003550F4" w:rsidRDefault="00A51DDB" w:rsidP="00A51DDB">
      <w:pPr>
        <w:rPr>
          <w:lang w:val="en-US"/>
        </w:rPr>
      </w:pPr>
    </w:p>
    <w:p w14:paraId="29493F5D" w14:textId="2E187DBE" w:rsidR="00265E2A" w:rsidRPr="00EC1AF7" w:rsidRDefault="00265E2A" w:rsidP="00AC4C2F">
      <w:pPr>
        <w:pStyle w:val="Listenabsatz"/>
        <w:numPr>
          <w:ilvl w:val="0"/>
          <w:numId w:val="9"/>
        </w:numPr>
        <w:autoSpaceDE w:val="0"/>
        <w:autoSpaceDN w:val="0"/>
        <w:adjustRightInd w:val="0"/>
        <w:snapToGrid w:val="0"/>
        <w:spacing w:line="240" w:lineRule="auto"/>
        <w:ind w:left="426" w:hanging="426"/>
        <w:rPr>
          <w:b/>
          <w:lang w:val="en-US"/>
        </w:rPr>
      </w:pPr>
      <w:r w:rsidRPr="00EC1AF7">
        <w:rPr>
          <w:b/>
          <w:lang w:val="en-US"/>
        </w:rPr>
        <w:t>What financial benefits in EUR provid</w:t>
      </w:r>
      <w:r w:rsidR="00D67799" w:rsidRPr="00EC1AF7">
        <w:rPr>
          <w:b/>
          <w:lang w:val="en-US"/>
        </w:rPr>
        <w:t>e the following measures for you?</w:t>
      </w:r>
      <w:r w:rsidR="003F0EC4" w:rsidRPr="00EC1AF7">
        <w:rPr>
          <w:b/>
          <w:lang w:val="en-US"/>
        </w:rPr>
        <w:t xml:space="preserve"> (If non, leave the cell blank)</w:t>
      </w:r>
      <w:r w:rsidR="00A766F1">
        <w:rPr>
          <w:b/>
          <w:lang w:val="en-US"/>
        </w:rPr>
        <w:br/>
      </w:r>
    </w:p>
    <w:tbl>
      <w:tblPr>
        <w:tblW w:w="9214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559"/>
        <w:gridCol w:w="1701"/>
        <w:gridCol w:w="1701"/>
      </w:tblGrid>
      <w:tr w:rsidR="003550F4" w:rsidRPr="003550F4" w14:paraId="33605594" w14:textId="77777777" w:rsidTr="00A766F1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D7C8" w14:textId="77777777" w:rsidR="003550F4" w:rsidRPr="003550F4" w:rsidRDefault="003550F4" w:rsidP="003550F4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61C" w14:textId="77777777" w:rsidR="003550F4" w:rsidRPr="003550F4" w:rsidRDefault="003550F4" w:rsidP="003550F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de-AT"/>
              </w:rPr>
            </w:pPr>
            <w:r w:rsidRPr="003550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de-AT"/>
              </w:rPr>
              <w:t>Status quo as it is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83EF" w14:textId="77777777" w:rsidR="003550F4" w:rsidRPr="003550F4" w:rsidRDefault="003550F4" w:rsidP="003550F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de-AT"/>
              </w:rPr>
            </w:pPr>
            <w:r w:rsidRPr="003550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de-AT"/>
              </w:rPr>
              <w:t>Increase of frequency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5A18" w14:textId="77777777" w:rsidR="003550F4" w:rsidRPr="003550F4" w:rsidRDefault="003550F4" w:rsidP="003550F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de-AT"/>
              </w:rPr>
            </w:pPr>
            <w:r w:rsidRPr="003550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de-AT"/>
              </w:rPr>
              <w:t>Another timeline of information provision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FE58" w14:textId="77777777" w:rsidR="003550F4" w:rsidRPr="003550F4" w:rsidRDefault="003550F4" w:rsidP="003550F4">
            <w:pPr>
              <w:spacing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de-AT"/>
              </w:rPr>
            </w:pPr>
            <w:r w:rsidRPr="003550F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de-AT"/>
              </w:rPr>
              <w:t>Accuracy of information provision</w:t>
            </w:r>
          </w:p>
        </w:tc>
      </w:tr>
      <w:tr w:rsidR="00EC2AC3" w:rsidRPr="003550F4" w14:paraId="60DBCF5A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DFEB" w14:textId="7D39C4AF" w:rsidR="00EC2AC3" w:rsidRPr="00A766F1" w:rsidRDefault="00EC2AC3" w:rsidP="00EC2AC3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 xml:space="preserve">Overall status – </w:t>
            </w:r>
            <w:proofErr w:type="spellStart"/>
            <w:r w:rsidRPr="00A766F1">
              <w:rPr>
                <w:sz w:val="18"/>
                <w:lang w:val="en-US"/>
              </w:rPr>
              <w:t>Linepack</w:t>
            </w:r>
            <w:proofErr w:type="spellEnd"/>
            <w:r w:rsidRPr="00A766F1">
              <w:rPr>
                <w:sz w:val="18"/>
                <w:lang w:val="en-US"/>
              </w:rPr>
              <w:t xml:space="preserve"> (Slide 7)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E2FC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A242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871C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5FB70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  <w:tr w:rsidR="00EC2AC3" w:rsidRPr="00E70F20" w14:paraId="395169F4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D77" w14:textId="06D96F97" w:rsidR="00EC2AC3" w:rsidRPr="00A766F1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 xml:space="preserve">Overall status – Market Area Balance (Slide </w:t>
            </w:r>
            <w:r w:rsidR="008B2952" w:rsidRPr="00A766F1">
              <w:rPr>
                <w:sz w:val="18"/>
                <w:lang w:val="en-US"/>
              </w:rPr>
              <w:t>8</w:t>
            </w:r>
            <w:r w:rsidRPr="00A766F1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BC0B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B55C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4937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87EB2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  <w:tr w:rsidR="00EC2AC3" w:rsidRPr="00E70F20" w14:paraId="5E564CE0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7B41" w14:textId="5E9A9E7D" w:rsidR="00EC2AC3" w:rsidRPr="00A766F1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 xml:space="preserve">Report on the </w:t>
            </w:r>
            <w:proofErr w:type="spellStart"/>
            <w:r w:rsidRPr="00A766F1">
              <w:rPr>
                <w:sz w:val="18"/>
                <w:lang w:val="en-US"/>
              </w:rPr>
              <w:t>balacing</w:t>
            </w:r>
            <w:proofErr w:type="spellEnd"/>
            <w:r w:rsidRPr="00A766F1">
              <w:rPr>
                <w:sz w:val="18"/>
                <w:lang w:val="en-US"/>
              </w:rPr>
              <w:t xml:space="preserve"> incentive markups (Slide </w:t>
            </w:r>
            <w:r w:rsidR="008B2952" w:rsidRPr="00A766F1">
              <w:rPr>
                <w:sz w:val="18"/>
                <w:lang w:val="en-US"/>
              </w:rPr>
              <w:t>9</w:t>
            </w:r>
            <w:r w:rsidRPr="00A766F1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1646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54F7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E8A42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3AC9A4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  <w:tr w:rsidR="00EC2AC3" w:rsidRPr="003550F4" w14:paraId="75361762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2556" w14:textId="6CBF08CF" w:rsidR="00EC2AC3" w:rsidRPr="00A766F1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>MAM balancing (Slide 1</w:t>
            </w:r>
            <w:r w:rsidR="008B2952" w:rsidRPr="00A766F1">
              <w:rPr>
                <w:sz w:val="18"/>
                <w:lang w:val="en-US"/>
              </w:rPr>
              <w:t>0</w:t>
            </w:r>
            <w:r w:rsidRPr="00A766F1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26A9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A1B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492F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385EF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  <w:tr w:rsidR="00EC2AC3" w:rsidRPr="00E70F20" w14:paraId="64E98F45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0AA8" w14:textId="77C1E083" w:rsidR="00EC2AC3" w:rsidRPr="00A766F1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>MAM within-day-balancing (Slide 1</w:t>
            </w:r>
            <w:r w:rsidR="008B2952" w:rsidRPr="00A766F1">
              <w:rPr>
                <w:sz w:val="18"/>
                <w:lang w:val="en-US"/>
              </w:rPr>
              <w:t>1</w:t>
            </w:r>
            <w:r w:rsidRPr="00A766F1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92D8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2AB4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2B1C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CA457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  <w:tr w:rsidR="00EC2AC3" w:rsidRPr="00E70F20" w14:paraId="04F953B4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38F5" w14:textId="63CEF068" w:rsidR="00EC2AC3" w:rsidRPr="00A766F1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>Forecasts and updates for Intraday metered inputs/off-takes acc. to Art. 34 (Slide 1</w:t>
            </w:r>
            <w:r w:rsidR="008B2952" w:rsidRPr="00A766F1">
              <w:rPr>
                <w:sz w:val="18"/>
                <w:lang w:val="en-US"/>
              </w:rPr>
              <w:t>3</w:t>
            </w:r>
            <w:r w:rsidRPr="00A766F1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089D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4162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17FC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00C7AF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  <w:tr w:rsidR="00EC2AC3" w:rsidRPr="00E70F20" w14:paraId="0FF6AAEB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CCCAC" w14:textId="14E9B880" w:rsidR="00EC2AC3" w:rsidRPr="00A766F1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>Forecasts and updates for NDM off-takes acc. to Art. 36 (Slide 1</w:t>
            </w:r>
            <w:r w:rsidR="008B2952" w:rsidRPr="00A766F1">
              <w:rPr>
                <w:sz w:val="18"/>
                <w:lang w:val="en-US"/>
              </w:rPr>
              <w:t>5</w:t>
            </w:r>
            <w:r w:rsidRPr="00A766F1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4C9BC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16D3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7B36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7A94D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  <w:tr w:rsidR="00EC2AC3" w:rsidRPr="00E70F20" w14:paraId="7CCE26ED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7B8D7" w14:textId="6557BD7F" w:rsidR="00EC2AC3" w:rsidRPr="00A766F1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>Information concerning initial allocations and initial imbalances acc. to Art 37 (Slide 1</w:t>
            </w:r>
            <w:r w:rsidR="008B2952" w:rsidRPr="00A766F1">
              <w:rPr>
                <w:sz w:val="18"/>
                <w:lang w:val="en-US"/>
              </w:rPr>
              <w:t>6</w:t>
            </w:r>
            <w:r w:rsidRPr="00A766F1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BDD1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A6C3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4449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A55E5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bookmarkStart w:id="0" w:name="_GoBack"/>
        <w:bookmarkEnd w:id="0"/>
      </w:tr>
      <w:tr w:rsidR="00EC2AC3" w:rsidRPr="00E70F20" w14:paraId="069B03DA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5227" w14:textId="720D9769" w:rsidR="00EC2AC3" w:rsidRPr="00A766F1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A766F1">
              <w:rPr>
                <w:sz w:val="18"/>
                <w:lang w:val="en-US"/>
              </w:rPr>
              <w:t>Information concerning final allocations and final imbalances acc. to Art. 37 (Slide 1</w:t>
            </w:r>
            <w:r w:rsidR="008B2952" w:rsidRPr="00A766F1">
              <w:rPr>
                <w:sz w:val="18"/>
                <w:lang w:val="en-US"/>
              </w:rPr>
              <w:t>6</w:t>
            </w:r>
            <w:r w:rsidRPr="00A766F1">
              <w:rPr>
                <w:sz w:val="18"/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65FB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106C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C896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71C06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  <w:tr w:rsidR="00EC2AC3" w:rsidRPr="00E70F20" w14:paraId="777E18C1" w14:textId="77777777" w:rsidTr="00A766F1">
        <w:trPr>
          <w:trHeight w:val="425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EF6471" w14:textId="0E769507" w:rsidR="00EC2AC3" w:rsidRPr="003550F4" w:rsidRDefault="00EC2AC3" w:rsidP="008B2952">
            <w:pPr>
              <w:spacing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de-AT"/>
              </w:rPr>
            </w:pPr>
            <w:r w:rsidRPr="003550F4">
              <w:rPr>
                <w:lang w:val="en-US"/>
              </w:rPr>
              <w:t>Allocation data in the log-in-area of the MAM-platform</w:t>
            </w:r>
            <w:r>
              <w:rPr>
                <w:lang w:val="en-US"/>
              </w:rPr>
              <w:t xml:space="preserve"> (Slide </w:t>
            </w:r>
            <w:r w:rsidR="008B2952">
              <w:rPr>
                <w:lang w:val="en-US"/>
              </w:rPr>
              <w:t>17</w:t>
            </w:r>
            <w:r>
              <w:rPr>
                <w:lang w:val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F6E8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CA11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D954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A1540" w14:textId="77777777" w:rsidR="00EC2AC3" w:rsidRPr="003550F4" w:rsidRDefault="00EC2AC3" w:rsidP="00EC2AC3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</w:pPr>
            <w:r w:rsidRPr="003550F4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de-AT"/>
              </w:rPr>
              <w:t> </w:t>
            </w:r>
          </w:p>
        </w:tc>
      </w:tr>
    </w:tbl>
    <w:p w14:paraId="5296676B" w14:textId="2E2FD9D3" w:rsidR="005842EE" w:rsidRDefault="005842EE" w:rsidP="003F0EC4">
      <w:pPr>
        <w:autoSpaceDE w:val="0"/>
        <w:autoSpaceDN w:val="0"/>
        <w:adjustRightInd w:val="0"/>
        <w:snapToGrid w:val="0"/>
        <w:spacing w:line="240" w:lineRule="auto"/>
        <w:rPr>
          <w:b/>
          <w:lang w:val="en-US"/>
        </w:rPr>
      </w:pPr>
    </w:p>
    <w:p w14:paraId="7CC4502F" w14:textId="26EE7F58" w:rsidR="00E70F20" w:rsidRDefault="00E70F20" w:rsidP="003F0EC4">
      <w:pPr>
        <w:autoSpaceDE w:val="0"/>
        <w:autoSpaceDN w:val="0"/>
        <w:adjustRightInd w:val="0"/>
        <w:snapToGrid w:val="0"/>
        <w:spacing w:line="240" w:lineRule="auto"/>
        <w:rPr>
          <w:b/>
          <w:lang w:val="en-US"/>
        </w:rPr>
      </w:pPr>
    </w:p>
    <w:p w14:paraId="2698191A" w14:textId="05870708" w:rsidR="00E70F20" w:rsidRDefault="00E70F20" w:rsidP="003F0EC4">
      <w:pPr>
        <w:autoSpaceDE w:val="0"/>
        <w:autoSpaceDN w:val="0"/>
        <w:adjustRightInd w:val="0"/>
        <w:snapToGrid w:val="0"/>
        <w:spacing w:line="240" w:lineRule="auto"/>
        <w:rPr>
          <w:b/>
          <w:lang w:val="en-US"/>
        </w:rPr>
      </w:pPr>
    </w:p>
    <w:p w14:paraId="15B4E69F" w14:textId="39BBC723" w:rsidR="00265E2A" w:rsidRPr="003550F4" w:rsidRDefault="00EC2AC3" w:rsidP="003E3999">
      <w:pPr>
        <w:rPr>
          <w:lang w:val="en-US"/>
        </w:rPr>
      </w:pPr>
      <w:r w:rsidRPr="003550F4">
        <w:rPr>
          <w:rFonts w:eastAsia="Times New Roman" w:cs="Arial"/>
          <w:color w:val="000000"/>
          <w:lang w:val="en-US" w:eastAsia="de-AT"/>
        </w:rPr>
        <w:t>Any other comments / suggestions …</w:t>
      </w:r>
      <w:r>
        <w:rPr>
          <w:rFonts w:eastAsia="Times New Roman" w:cs="Arial"/>
          <w:color w:val="000000"/>
          <w:lang w:val="en-US" w:eastAsia="de-AT"/>
        </w:rPr>
        <w:t>…………………………………………………………………………….</w:t>
      </w:r>
    </w:p>
    <w:sectPr w:rsidR="00265E2A" w:rsidRPr="003550F4" w:rsidSect="00A766F1">
      <w:footerReference w:type="default" r:id="rId12"/>
      <w:pgSz w:w="11906" w:h="16838" w:code="9"/>
      <w:pgMar w:top="1418" w:right="1304" w:bottom="1276" w:left="1418" w:header="851" w:footer="5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9F3C" w14:textId="77777777" w:rsidR="00703B8D" w:rsidRDefault="00703B8D">
      <w:r>
        <w:separator/>
      </w:r>
    </w:p>
  </w:endnote>
  <w:endnote w:type="continuationSeparator" w:id="0">
    <w:p w14:paraId="3032013D" w14:textId="77777777" w:rsidR="00703B8D" w:rsidRDefault="00703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ABBC" w14:textId="3806E204" w:rsidR="00265E2A" w:rsidRPr="00B47189" w:rsidRDefault="00265E2A" w:rsidP="00B47189">
    <w:pPr>
      <w:pStyle w:val="Fuzeile"/>
    </w:pPr>
    <w:r w:rsidRPr="00B47189">
      <w:tab/>
      <w:t xml:space="preserve">Seite </w:t>
    </w:r>
    <w:r w:rsidRPr="00B47189">
      <w:fldChar w:fldCharType="begin"/>
    </w:r>
    <w:r w:rsidRPr="00B47189">
      <w:instrText>PAGE  \* Arabic  \* MERGEFORMAT</w:instrText>
    </w:r>
    <w:r w:rsidRPr="00B47189">
      <w:fldChar w:fldCharType="separate"/>
    </w:r>
    <w:r w:rsidR="00A766F1">
      <w:rPr>
        <w:noProof/>
      </w:rPr>
      <w:t>3</w:t>
    </w:r>
    <w:r w:rsidRPr="00B47189">
      <w:fldChar w:fldCharType="end"/>
    </w:r>
    <w:r w:rsidRPr="00B47189">
      <w:t xml:space="preserve"> von </w:t>
    </w:r>
    <w:fldSimple w:instr="NUMPAGES  \* Arabic  \* MERGEFORMAT">
      <w:r w:rsidR="00A766F1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4BEBF" w14:textId="77777777" w:rsidR="00703B8D" w:rsidRDefault="00703B8D">
      <w:r>
        <w:separator/>
      </w:r>
    </w:p>
  </w:footnote>
  <w:footnote w:type="continuationSeparator" w:id="0">
    <w:p w14:paraId="1AE600F6" w14:textId="77777777" w:rsidR="00703B8D" w:rsidRDefault="00703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65B8ACA6"/>
    <w:lvl w:ilvl="0">
      <w:start w:val="1"/>
      <w:numFmt w:val="bullet"/>
      <w:pStyle w:val="Aufzhlungszeichen5"/>
      <w:lvlText w:val="‒"/>
      <w:lvlJc w:val="left"/>
      <w:pPr>
        <w:ind w:left="1492" w:hanging="360"/>
      </w:pPr>
      <w:rPr>
        <w:rFonts w:ascii="Verdana" w:hAnsi="Verdana" w:hint="default"/>
      </w:rPr>
    </w:lvl>
  </w:abstractNum>
  <w:abstractNum w:abstractNumId="1" w15:restartNumberingAfterBreak="0">
    <w:nsid w:val="FFFFFF81"/>
    <w:multiLevelType w:val="singleLevel"/>
    <w:tmpl w:val="76808FCA"/>
    <w:lvl w:ilvl="0">
      <w:start w:val="1"/>
      <w:numFmt w:val="bullet"/>
      <w:pStyle w:val="Aufzhlungszeichen4"/>
      <w:lvlText w:val="‒"/>
      <w:lvlJc w:val="left"/>
      <w:pPr>
        <w:ind w:left="1209" w:hanging="360"/>
      </w:pPr>
      <w:rPr>
        <w:rFonts w:ascii="Verdana" w:hAnsi="Verdana" w:hint="default"/>
      </w:rPr>
    </w:lvl>
  </w:abstractNum>
  <w:abstractNum w:abstractNumId="2" w15:restartNumberingAfterBreak="0">
    <w:nsid w:val="FFFFFF82"/>
    <w:multiLevelType w:val="singleLevel"/>
    <w:tmpl w:val="273EDEB0"/>
    <w:lvl w:ilvl="0">
      <w:start w:val="1"/>
      <w:numFmt w:val="bullet"/>
      <w:pStyle w:val="Aufzhlungszeichen3"/>
      <w:lvlText w:val="‒"/>
      <w:lvlJc w:val="left"/>
      <w:pPr>
        <w:ind w:left="926" w:hanging="360"/>
      </w:pPr>
      <w:rPr>
        <w:rFonts w:ascii="Verdana" w:hAnsi="Verdana" w:hint="default"/>
      </w:rPr>
    </w:lvl>
  </w:abstractNum>
  <w:abstractNum w:abstractNumId="3" w15:restartNumberingAfterBreak="0">
    <w:nsid w:val="FFFFFF83"/>
    <w:multiLevelType w:val="singleLevel"/>
    <w:tmpl w:val="C61A7DB2"/>
    <w:lvl w:ilvl="0">
      <w:start w:val="1"/>
      <w:numFmt w:val="bullet"/>
      <w:pStyle w:val="Aufzhlungszeichen2"/>
      <w:lvlText w:val="‒"/>
      <w:lvlJc w:val="left"/>
      <w:pPr>
        <w:ind w:left="643" w:hanging="360"/>
      </w:pPr>
      <w:rPr>
        <w:rFonts w:ascii="Verdana" w:hAnsi="Verdana" w:hint="default"/>
      </w:rPr>
    </w:lvl>
  </w:abstractNum>
  <w:abstractNum w:abstractNumId="4" w15:restartNumberingAfterBreak="0">
    <w:nsid w:val="FFFFFF89"/>
    <w:multiLevelType w:val="singleLevel"/>
    <w:tmpl w:val="673AA1D8"/>
    <w:lvl w:ilvl="0">
      <w:start w:val="1"/>
      <w:numFmt w:val="bullet"/>
      <w:pStyle w:val="Aufzhlungszeichen"/>
      <w:lvlText w:val="‒"/>
      <w:lvlJc w:val="left"/>
      <w:pPr>
        <w:ind w:left="360" w:hanging="360"/>
      </w:pPr>
      <w:rPr>
        <w:rFonts w:ascii="Verdana" w:hAnsi="Verdana" w:hint="default"/>
      </w:rPr>
    </w:lvl>
  </w:abstractNum>
  <w:abstractNum w:abstractNumId="5" w15:restartNumberingAfterBreak="0">
    <w:nsid w:val="192430FF"/>
    <w:multiLevelType w:val="hybridMultilevel"/>
    <w:tmpl w:val="B78850F2"/>
    <w:lvl w:ilvl="0" w:tplc="0C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993D56"/>
    <w:multiLevelType w:val="multilevel"/>
    <w:tmpl w:val="5C328754"/>
    <w:numStyleLink w:val="GCAListe"/>
  </w:abstractNum>
  <w:abstractNum w:abstractNumId="7" w15:restartNumberingAfterBreak="0">
    <w:nsid w:val="2C0912FB"/>
    <w:multiLevelType w:val="hybridMultilevel"/>
    <w:tmpl w:val="996E9E1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368C6"/>
    <w:multiLevelType w:val="hybridMultilevel"/>
    <w:tmpl w:val="A3C8B0A0"/>
    <w:lvl w:ilvl="0" w:tplc="0C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962548"/>
    <w:multiLevelType w:val="multilevel"/>
    <w:tmpl w:val="5C328754"/>
    <w:styleLink w:val="GCAListe"/>
    <w:lvl w:ilvl="0">
      <w:start w:val="1"/>
      <w:numFmt w:val="bullet"/>
      <w:pStyle w:val="Liste"/>
      <w:lvlText w:val="‒"/>
      <w:lvlJc w:val="left"/>
      <w:pPr>
        <w:ind w:left="360" w:hanging="360"/>
      </w:pPr>
      <w:rPr>
        <w:rFonts w:ascii="Verdana" w:hAnsi="Verdana" w:hint="default"/>
      </w:rPr>
    </w:lvl>
    <w:lvl w:ilvl="1">
      <w:start w:val="1"/>
      <w:numFmt w:val="bullet"/>
      <w:pStyle w:val="Liste2"/>
      <w:lvlText w:val="‒"/>
      <w:lvlJc w:val="left"/>
      <w:pPr>
        <w:ind w:left="714" w:hanging="357"/>
      </w:pPr>
      <w:rPr>
        <w:rFonts w:ascii="Verdana" w:hAnsi="Verdana" w:hint="default"/>
      </w:rPr>
    </w:lvl>
    <w:lvl w:ilvl="2">
      <w:start w:val="1"/>
      <w:numFmt w:val="bullet"/>
      <w:pStyle w:val="Liste3"/>
      <w:lvlText w:val="‒"/>
      <w:lvlJc w:val="left"/>
      <w:pPr>
        <w:ind w:left="1077" w:hanging="357"/>
      </w:pPr>
      <w:rPr>
        <w:rFonts w:ascii="Verdana" w:hAnsi="Verdana" w:hint="default"/>
      </w:rPr>
    </w:lvl>
    <w:lvl w:ilvl="3">
      <w:start w:val="1"/>
      <w:numFmt w:val="bullet"/>
      <w:pStyle w:val="Liste4"/>
      <w:lvlText w:val="‒"/>
      <w:lvlJc w:val="left"/>
      <w:pPr>
        <w:ind w:left="1435" w:hanging="358"/>
      </w:pPr>
      <w:rPr>
        <w:rFonts w:ascii="Verdana" w:hAnsi="Verdana" w:hint="default"/>
      </w:rPr>
    </w:lvl>
    <w:lvl w:ilvl="4">
      <w:start w:val="1"/>
      <w:numFmt w:val="bullet"/>
      <w:pStyle w:val="Liste5"/>
      <w:lvlText w:val="‒"/>
      <w:lvlJc w:val="left"/>
      <w:pPr>
        <w:ind w:left="1792" w:hanging="357"/>
      </w:pPr>
      <w:rPr>
        <w:rFonts w:ascii="Verdana" w:hAnsi="Verdana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E72915"/>
    <w:multiLevelType w:val="hybridMultilevel"/>
    <w:tmpl w:val="CDBA08F4"/>
    <w:lvl w:ilvl="0" w:tplc="F8381CE4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LockTheme/>
  <w:styleLockQFSet/>
  <w:defaultTabStop w:val="708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5B"/>
    <w:rsid w:val="00001595"/>
    <w:rsid w:val="00020E31"/>
    <w:rsid w:val="00044A4B"/>
    <w:rsid w:val="00044FD7"/>
    <w:rsid w:val="000B205B"/>
    <w:rsid w:val="000F27A2"/>
    <w:rsid w:val="00120AFD"/>
    <w:rsid w:val="00141441"/>
    <w:rsid w:val="001753BE"/>
    <w:rsid w:val="0018628F"/>
    <w:rsid w:val="00186777"/>
    <w:rsid w:val="001A34F8"/>
    <w:rsid w:val="001A3A94"/>
    <w:rsid w:val="001B2047"/>
    <w:rsid w:val="001C3796"/>
    <w:rsid w:val="001C7D51"/>
    <w:rsid w:val="001D751E"/>
    <w:rsid w:val="00227C6E"/>
    <w:rsid w:val="0023397E"/>
    <w:rsid w:val="00240DF6"/>
    <w:rsid w:val="002512C3"/>
    <w:rsid w:val="002541D4"/>
    <w:rsid w:val="00265E2A"/>
    <w:rsid w:val="002C3FBE"/>
    <w:rsid w:val="002D466A"/>
    <w:rsid w:val="00312E3B"/>
    <w:rsid w:val="003168A1"/>
    <w:rsid w:val="003550F4"/>
    <w:rsid w:val="00360C5D"/>
    <w:rsid w:val="00397B6A"/>
    <w:rsid w:val="003A7BEB"/>
    <w:rsid w:val="003C691B"/>
    <w:rsid w:val="003D5277"/>
    <w:rsid w:val="003E3999"/>
    <w:rsid w:val="003F0EC4"/>
    <w:rsid w:val="004072D0"/>
    <w:rsid w:val="004408D7"/>
    <w:rsid w:val="004640EF"/>
    <w:rsid w:val="00471499"/>
    <w:rsid w:val="004A78DF"/>
    <w:rsid w:val="004B7C10"/>
    <w:rsid w:val="004C455E"/>
    <w:rsid w:val="004E210F"/>
    <w:rsid w:val="004F4BE7"/>
    <w:rsid w:val="004F51EA"/>
    <w:rsid w:val="005033FD"/>
    <w:rsid w:val="00512373"/>
    <w:rsid w:val="00565EA6"/>
    <w:rsid w:val="00574FD2"/>
    <w:rsid w:val="005842EE"/>
    <w:rsid w:val="00597F63"/>
    <w:rsid w:val="005A1516"/>
    <w:rsid w:val="005B765C"/>
    <w:rsid w:val="00604130"/>
    <w:rsid w:val="00611DAD"/>
    <w:rsid w:val="006123A7"/>
    <w:rsid w:val="006237F0"/>
    <w:rsid w:val="006262CC"/>
    <w:rsid w:val="00635204"/>
    <w:rsid w:val="00641449"/>
    <w:rsid w:val="00674803"/>
    <w:rsid w:val="00682316"/>
    <w:rsid w:val="006D076D"/>
    <w:rsid w:val="006E21BF"/>
    <w:rsid w:val="006E65C2"/>
    <w:rsid w:val="006F356B"/>
    <w:rsid w:val="00703B8D"/>
    <w:rsid w:val="0072320C"/>
    <w:rsid w:val="00765EF5"/>
    <w:rsid w:val="007B5997"/>
    <w:rsid w:val="007B6736"/>
    <w:rsid w:val="007D5ED4"/>
    <w:rsid w:val="00841F5E"/>
    <w:rsid w:val="00885598"/>
    <w:rsid w:val="008915D6"/>
    <w:rsid w:val="00895FBC"/>
    <w:rsid w:val="008B2952"/>
    <w:rsid w:val="008D5413"/>
    <w:rsid w:val="008E4BAD"/>
    <w:rsid w:val="00911131"/>
    <w:rsid w:val="00983189"/>
    <w:rsid w:val="00985DC4"/>
    <w:rsid w:val="0099087C"/>
    <w:rsid w:val="009C54D3"/>
    <w:rsid w:val="009E2046"/>
    <w:rsid w:val="00A12CED"/>
    <w:rsid w:val="00A253D7"/>
    <w:rsid w:val="00A4210E"/>
    <w:rsid w:val="00A51DDB"/>
    <w:rsid w:val="00A70FCD"/>
    <w:rsid w:val="00A766F1"/>
    <w:rsid w:val="00A903B1"/>
    <w:rsid w:val="00A95E04"/>
    <w:rsid w:val="00AA6349"/>
    <w:rsid w:val="00AC25B9"/>
    <w:rsid w:val="00AC3B44"/>
    <w:rsid w:val="00AF7E54"/>
    <w:rsid w:val="00B40743"/>
    <w:rsid w:val="00B46BCA"/>
    <w:rsid w:val="00B47189"/>
    <w:rsid w:val="00B55C60"/>
    <w:rsid w:val="00B7630A"/>
    <w:rsid w:val="00B806E5"/>
    <w:rsid w:val="00B8369E"/>
    <w:rsid w:val="00B95800"/>
    <w:rsid w:val="00BA48AF"/>
    <w:rsid w:val="00BB2D69"/>
    <w:rsid w:val="00BB7D5E"/>
    <w:rsid w:val="00BF3654"/>
    <w:rsid w:val="00C16F41"/>
    <w:rsid w:val="00CA2533"/>
    <w:rsid w:val="00CC7690"/>
    <w:rsid w:val="00CD2903"/>
    <w:rsid w:val="00CE3992"/>
    <w:rsid w:val="00CE4D18"/>
    <w:rsid w:val="00CF582B"/>
    <w:rsid w:val="00D30814"/>
    <w:rsid w:val="00D3254D"/>
    <w:rsid w:val="00D564D6"/>
    <w:rsid w:val="00D67799"/>
    <w:rsid w:val="00D97720"/>
    <w:rsid w:val="00DB099A"/>
    <w:rsid w:val="00DC727A"/>
    <w:rsid w:val="00DD12A7"/>
    <w:rsid w:val="00E15C9A"/>
    <w:rsid w:val="00E41C80"/>
    <w:rsid w:val="00E551DA"/>
    <w:rsid w:val="00E6760D"/>
    <w:rsid w:val="00E70F20"/>
    <w:rsid w:val="00EC1AF7"/>
    <w:rsid w:val="00EC2AC3"/>
    <w:rsid w:val="00EC76BE"/>
    <w:rsid w:val="00F13E33"/>
    <w:rsid w:val="00F254A3"/>
    <w:rsid w:val="00F46B8F"/>
    <w:rsid w:val="00F54CFE"/>
    <w:rsid w:val="00F62070"/>
    <w:rsid w:val="00F63D63"/>
    <w:rsid w:val="00F73E6C"/>
    <w:rsid w:val="00F75761"/>
    <w:rsid w:val="00F81709"/>
    <w:rsid w:val="00F8576F"/>
    <w:rsid w:val="00F9007C"/>
    <w:rsid w:val="00F93CB5"/>
    <w:rsid w:val="00F96C95"/>
    <w:rsid w:val="00FE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1D6FF"/>
  <w15:chartTrackingRefBased/>
  <w15:docId w15:val="{48ADB149-4A16-4465-88DA-346A6222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5" w:unhideWhenUsed="1" w:qFormat="1"/>
    <w:lsdException w:name="heading 6" w:semiHidden="1" w:uiPriority="5" w:unhideWhenUsed="1" w:qFormat="1"/>
    <w:lsdException w:name="heading 7" w:semiHidden="1" w:uiPriority="5" w:unhideWhenUsed="1" w:qFormat="1"/>
    <w:lsdException w:name="heading 8" w:semiHidden="1" w:uiPriority="5" w:unhideWhenUsed="1" w:qFormat="1"/>
    <w:lsdException w:name="heading 9" w:semiHidden="1" w:uiPriority="5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 w:qFormat="1"/>
    <w:lsdException w:name="footer" w:semiHidden="1" w:uiPriority="6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4" w:unhideWhenUsed="1" w:qFormat="1"/>
    <w:lsdException w:name="List Bullet" w:semiHidden="1" w:unhideWhenUsed="1"/>
    <w:lsdException w:name="List Number" w:semiHidden="1" w:unhideWhenUsed="1"/>
    <w:lsdException w:name="List 2" w:semiHidden="1" w:uiPriority="4" w:unhideWhenUsed="1" w:qFormat="1"/>
    <w:lsdException w:name="List 3" w:semiHidden="1" w:uiPriority="4" w:unhideWhenUsed="1" w:qFormat="1"/>
    <w:lsdException w:name="List 4" w:semiHidden="1" w:uiPriority="4" w:unhideWhenUsed="1"/>
    <w:lsdException w:name="List 5" w:semiHidden="1" w:uiPriority="4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4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8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" w:qFormat="1"/>
    <w:lsdException w:name="Intense Emphasis" w:uiPriority="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2D69"/>
  </w:style>
  <w:style w:type="paragraph" w:styleId="berschrift1">
    <w:name w:val="heading 1"/>
    <w:basedOn w:val="Standard"/>
    <w:next w:val="Standard"/>
    <w:link w:val="berschrift1Zchn"/>
    <w:uiPriority w:val="5"/>
    <w:qFormat/>
    <w:rsid w:val="004B7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5"/>
    <w:qFormat/>
    <w:rsid w:val="004B7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5"/>
    <w:qFormat/>
    <w:rsid w:val="004B7C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berschrift4">
    <w:name w:val="heading 4"/>
    <w:basedOn w:val="Standard"/>
    <w:next w:val="Standard"/>
    <w:link w:val="berschrift4Zchn"/>
    <w:uiPriority w:val="5"/>
    <w:semiHidden/>
    <w:unhideWhenUsed/>
    <w:qFormat/>
    <w:rsid w:val="004B7C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5"/>
    <w:semiHidden/>
    <w:unhideWhenUsed/>
    <w:qFormat/>
    <w:rsid w:val="004B7C10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5"/>
    <w:semiHidden/>
    <w:unhideWhenUsed/>
    <w:qFormat/>
    <w:rsid w:val="004B7C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5"/>
    <w:semiHidden/>
    <w:unhideWhenUsed/>
    <w:qFormat/>
    <w:rsid w:val="004B7C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5"/>
    <w:semiHidden/>
    <w:unhideWhenUsed/>
    <w:qFormat/>
    <w:rsid w:val="004B7C10"/>
    <w:pPr>
      <w:keepNext/>
      <w:keepLines/>
      <w:spacing w:before="200"/>
      <w:outlineLvl w:val="7"/>
    </w:pPr>
    <w:rPr>
      <w:rFonts w:asciiTheme="majorHAnsi" w:eastAsiaTheme="majorEastAsia" w:hAnsiTheme="majorHAnsi" w:cstheme="majorBidi"/>
    </w:rPr>
  </w:style>
  <w:style w:type="paragraph" w:styleId="berschrift9">
    <w:name w:val="heading 9"/>
    <w:basedOn w:val="Standard"/>
    <w:next w:val="Standard"/>
    <w:link w:val="berschrift9Zchn"/>
    <w:uiPriority w:val="5"/>
    <w:semiHidden/>
    <w:unhideWhenUsed/>
    <w:qFormat/>
    <w:rsid w:val="004B7C1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6"/>
    <w:qFormat/>
    <w:rsid w:val="004B7C10"/>
    <w:pPr>
      <w:tabs>
        <w:tab w:val="right" w:pos="9469"/>
      </w:tabs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6"/>
    <w:rsid w:val="004B7C10"/>
    <w:rPr>
      <w:sz w:val="15"/>
    </w:rPr>
  </w:style>
  <w:style w:type="paragraph" w:styleId="Beschriftung">
    <w:name w:val="caption"/>
    <w:basedOn w:val="Standard"/>
    <w:next w:val="Standard"/>
    <w:uiPriority w:val="2"/>
    <w:qFormat/>
    <w:rsid w:val="004B7C10"/>
    <w:pPr>
      <w:spacing w:after="200"/>
      <w:jc w:val="center"/>
    </w:pPr>
    <w:rPr>
      <w:bCs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4B7C10"/>
    <w:rPr>
      <w:color w:val="357437" w:themeColor="accent2"/>
      <w:u w:val="single"/>
    </w:rPr>
  </w:style>
  <w:style w:type="paragraph" w:styleId="Blocktext">
    <w:name w:val="Block Text"/>
    <w:basedOn w:val="Standard"/>
    <w:uiPriority w:val="99"/>
    <w:semiHidden/>
    <w:unhideWhenUsed/>
    <w:rsid w:val="004B7C10"/>
    <w:pPr>
      <w:pBdr>
        <w:top w:val="single" w:sz="2" w:space="10" w:color="7BB23E" w:themeColor="accent1" w:frame="1"/>
        <w:left w:val="single" w:sz="2" w:space="10" w:color="7BB23E" w:themeColor="accent1" w:frame="1"/>
        <w:bottom w:val="single" w:sz="2" w:space="10" w:color="7BB23E" w:themeColor="accent1" w:frame="1"/>
        <w:right w:val="single" w:sz="2" w:space="10" w:color="7BB23E" w:themeColor="accent1" w:frame="1"/>
      </w:pBdr>
      <w:ind w:left="1152" w:right="1152"/>
    </w:pPr>
    <w:rPr>
      <w:rFonts w:eastAsiaTheme="minorEastAsia"/>
      <w:i/>
      <w:iCs/>
    </w:rPr>
  </w:style>
  <w:style w:type="paragraph" w:styleId="Fuzeile">
    <w:name w:val="footer"/>
    <w:basedOn w:val="Standard"/>
    <w:link w:val="FuzeileZchn"/>
    <w:uiPriority w:val="6"/>
    <w:qFormat/>
    <w:rsid w:val="004B7C10"/>
    <w:pPr>
      <w:tabs>
        <w:tab w:val="left" w:pos="7938"/>
      </w:tabs>
      <w:spacing w:line="240" w:lineRule="auto"/>
    </w:pPr>
    <w:rPr>
      <w:rFonts w:cs="Arial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6"/>
    <w:rsid w:val="004B7C10"/>
    <w:rPr>
      <w:rFonts w:cs="Arial"/>
      <w:sz w:val="15"/>
      <w:szCs w:val="15"/>
    </w:rPr>
  </w:style>
  <w:style w:type="character" w:styleId="Hervorhebung">
    <w:name w:val="Emphasis"/>
    <w:basedOn w:val="Absatz-Standardschriftart"/>
    <w:uiPriority w:val="1"/>
    <w:qFormat/>
    <w:rsid w:val="004B7C10"/>
    <w:rPr>
      <w:i/>
      <w:iCs/>
    </w:rPr>
  </w:style>
  <w:style w:type="character" w:styleId="IntensiveHervorhebung">
    <w:name w:val="Intense Emphasis"/>
    <w:basedOn w:val="Absatz-Standardschriftart"/>
    <w:uiPriority w:val="1"/>
    <w:semiHidden/>
    <w:qFormat/>
    <w:rsid w:val="004B7C10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4B7C10"/>
    <w:rPr>
      <w:b/>
      <w:bCs/>
      <w:smallCaps/>
      <w:color w:val="000000" w:themeColor="text1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4B7C10"/>
    <w:pPr>
      <w:pBdr>
        <w:bottom w:val="single" w:sz="4" w:space="4" w:color="7BB23E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B7C10"/>
    <w:rPr>
      <w:b/>
      <w:bCs/>
      <w:i/>
      <w:iCs/>
    </w:rPr>
  </w:style>
  <w:style w:type="paragraph" w:styleId="Listenabsatz">
    <w:name w:val="List Paragraph"/>
    <w:basedOn w:val="Standard"/>
    <w:uiPriority w:val="48"/>
    <w:semiHidden/>
    <w:rsid w:val="004B7C10"/>
    <w:pPr>
      <w:numPr>
        <w:numId w:val="7"/>
      </w:numPr>
    </w:pPr>
  </w:style>
  <w:style w:type="character" w:styleId="SchwacheHervorhebung">
    <w:name w:val="Subtle Emphasis"/>
    <w:basedOn w:val="Absatz-Standardschriftart"/>
    <w:uiPriority w:val="1"/>
    <w:qFormat/>
    <w:rsid w:val="004B7C10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4B7C10"/>
    <w:rPr>
      <w:smallCaps/>
      <w:color w:val="auto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7C1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7C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B7C10"/>
    <w:pPr>
      <w:spacing w:line="240" w:lineRule="auto"/>
    </w:pPr>
    <w:rPr>
      <w:rFonts w:eastAsia="Times New Roman" w:cs="Times New Roman"/>
      <w:sz w:val="18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5"/>
    <w:rsid w:val="004B7C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5"/>
    <w:rsid w:val="004B7C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5"/>
    <w:rsid w:val="004B7C10"/>
    <w:rPr>
      <w:rFonts w:asciiTheme="majorHAnsi" w:eastAsiaTheme="majorEastAsia" w:hAnsiTheme="majorHAnsi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5"/>
    <w:semiHidden/>
    <w:rsid w:val="004B7C1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uiPriority w:val="5"/>
    <w:semiHidden/>
    <w:rsid w:val="004B7C10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5"/>
    <w:semiHidden/>
    <w:rsid w:val="004B7C10"/>
    <w:rPr>
      <w:rFonts w:asciiTheme="majorHAnsi" w:eastAsiaTheme="majorEastAsia" w:hAnsiTheme="majorHAnsi" w:cstheme="majorBidi"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5"/>
    <w:semiHidden/>
    <w:rsid w:val="004B7C10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5"/>
    <w:semiHidden/>
    <w:rsid w:val="004B7C10"/>
    <w:rPr>
      <w:rFonts w:asciiTheme="majorHAnsi" w:eastAsiaTheme="majorEastAsia" w:hAnsiTheme="majorHAnsi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5"/>
    <w:semiHidden/>
    <w:rsid w:val="004B7C10"/>
    <w:rPr>
      <w:rFonts w:asciiTheme="majorHAnsi" w:eastAsiaTheme="majorEastAsia" w:hAnsiTheme="majorHAnsi" w:cstheme="majorBidi"/>
      <w:i/>
      <w:iCs/>
    </w:rPr>
  </w:style>
  <w:style w:type="paragraph" w:styleId="Untertitel">
    <w:name w:val="Subtitle"/>
    <w:basedOn w:val="Standard"/>
    <w:next w:val="Standard"/>
    <w:link w:val="UntertitelZchn"/>
    <w:uiPriority w:val="29"/>
    <w:qFormat/>
    <w:rsid w:val="00E15C9A"/>
    <w:pPr>
      <w:numPr>
        <w:ilvl w:val="1"/>
      </w:numPr>
      <w:spacing w:after="480"/>
    </w:pPr>
    <w:rPr>
      <w:rFonts w:asciiTheme="majorHAnsi" w:eastAsiaTheme="majorEastAsia" w:hAnsiTheme="majorHAnsi" w:cstheme="majorBidi"/>
      <w:iCs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29"/>
    <w:rsid w:val="00E15C9A"/>
    <w:rPr>
      <w:rFonts w:asciiTheme="majorHAnsi" w:eastAsiaTheme="majorEastAsia" w:hAnsiTheme="majorHAnsi" w:cstheme="majorBidi"/>
      <w:iCs/>
      <w:sz w:val="22"/>
      <w:szCs w:val="24"/>
    </w:rPr>
  </w:style>
  <w:style w:type="paragraph" w:styleId="Aufzhlungszeichen">
    <w:name w:val="List Bullet"/>
    <w:basedOn w:val="Standard"/>
    <w:uiPriority w:val="99"/>
    <w:semiHidden/>
    <w:rsid w:val="004B7C10"/>
    <w:pPr>
      <w:numPr>
        <w:numId w:val="1"/>
      </w:numPr>
      <w:contextualSpacing/>
    </w:pPr>
  </w:style>
  <w:style w:type="paragraph" w:styleId="Titel">
    <w:name w:val="Title"/>
    <w:basedOn w:val="Standard"/>
    <w:next w:val="Standard"/>
    <w:link w:val="TitelZchn"/>
    <w:uiPriority w:val="29"/>
    <w:qFormat/>
    <w:rsid w:val="004B7C10"/>
    <w:pPr>
      <w:pBdr>
        <w:bottom w:val="single" w:sz="8" w:space="4" w:color="808080" w:themeColor="text2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29"/>
    <w:rsid w:val="004B7C10"/>
    <w:rPr>
      <w:rFonts w:asciiTheme="majorHAnsi" w:eastAsiaTheme="majorEastAsia" w:hAnsiTheme="majorHAnsi" w:cstheme="majorBidi"/>
      <w:b/>
      <w:spacing w:val="5"/>
      <w:kern w:val="28"/>
      <w:sz w:val="52"/>
      <w:szCs w:val="52"/>
    </w:rPr>
  </w:style>
  <w:style w:type="paragraph" w:styleId="Aufzhlungszeichen2">
    <w:name w:val="List Bullet 2"/>
    <w:basedOn w:val="Standard"/>
    <w:uiPriority w:val="99"/>
    <w:semiHidden/>
    <w:unhideWhenUsed/>
    <w:rsid w:val="004B7C10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B7C10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B7C10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B7C10"/>
    <w:pPr>
      <w:numPr>
        <w:numId w:val="5"/>
      </w:numPr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B7C10"/>
    <w:pPr>
      <w:outlineLvl w:val="9"/>
    </w:pPr>
  </w:style>
  <w:style w:type="paragraph" w:styleId="Liste">
    <w:name w:val="List"/>
    <w:basedOn w:val="Standard"/>
    <w:uiPriority w:val="4"/>
    <w:qFormat/>
    <w:rsid w:val="0072320C"/>
    <w:pPr>
      <w:numPr>
        <w:numId w:val="8"/>
      </w:numPr>
      <w:contextualSpacing/>
    </w:pPr>
    <w:rPr>
      <w:noProof/>
    </w:rPr>
  </w:style>
  <w:style w:type="paragraph" w:styleId="Liste2">
    <w:name w:val="List 2"/>
    <w:basedOn w:val="Liste"/>
    <w:uiPriority w:val="4"/>
    <w:qFormat/>
    <w:rsid w:val="004B7C10"/>
    <w:pPr>
      <w:numPr>
        <w:ilvl w:val="1"/>
      </w:numPr>
    </w:pPr>
  </w:style>
  <w:style w:type="paragraph" w:styleId="Liste3">
    <w:name w:val="List 3"/>
    <w:basedOn w:val="Standard"/>
    <w:uiPriority w:val="4"/>
    <w:qFormat/>
    <w:rsid w:val="0072320C"/>
    <w:pPr>
      <w:numPr>
        <w:ilvl w:val="2"/>
        <w:numId w:val="8"/>
      </w:numPr>
      <w:contextualSpacing/>
    </w:pPr>
    <w:rPr>
      <w:noProof/>
    </w:rPr>
  </w:style>
  <w:style w:type="paragraph" w:styleId="Liste4">
    <w:name w:val="List 4"/>
    <w:basedOn w:val="Standard"/>
    <w:uiPriority w:val="4"/>
    <w:unhideWhenUsed/>
    <w:rsid w:val="0072320C"/>
    <w:pPr>
      <w:numPr>
        <w:ilvl w:val="3"/>
        <w:numId w:val="8"/>
      </w:numPr>
      <w:contextualSpacing/>
    </w:pPr>
    <w:rPr>
      <w:noProof/>
    </w:rPr>
  </w:style>
  <w:style w:type="paragraph" w:styleId="Liste5">
    <w:name w:val="List 5"/>
    <w:basedOn w:val="Standard"/>
    <w:uiPriority w:val="4"/>
    <w:unhideWhenUsed/>
    <w:rsid w:val="0072320C"/>
    <w:pPr>
      <w:numPr>
        <w:ilvl w:val="4"/>
        <w:numId w:val="8"/>
      </w:numPr>
      <w:contextualSpacing/>
    </w:pPr>
  </w:style>
  <w:style w:type="paragraph" w:customStyle="1" w:styleId="Abstandoberhalb">
    <w:name w:val="Abstand oberhalb"/>
    <w:basedOn w:val="Standard"/>
    <w:uiPriority w:val="1"/>
    <w:qFormat/>
    <w:rsid w:val="004B7C10"/>
    <w:pPr>
      <w:spacing w:before="240"/>
    </w:pPr>
  </w:style>
  <w:style w:type="paragraph" w:customStyle="1" w:styleId="TabelleBeschriftung">
    <w:name w:val="Tabelle Beschriftung"/>
    <w:basedOn w:val="Standard"/>
    <w:uiPriority w:val="11"/>
    <w:qFormat/>
    <w:rsid w:val="004B7C10"/>
    <w:pPr>
      <w:tabs>
        <w:tab w:val="right" w:pos="9469"/>
      </w:tabs>
      <w:jc w:val="center"/>
    </w:pPr>
    <w:rPr>
      <w:sz w:val="14"/>
    </w:rPr>
  </w:style>
  <w:style w:type="paragraph" w:customStyle="1" w:styleId="TabelleTextgro">
    <w:name w:val="Tabelle Text groß"/>
    <w:basedOn w:val="Standard"/>
    <w:uiPriority w:val="11"/>
    <w:qFormat/>
    <w:rsid w:val="004B7C10"/>
    <w:pPr>
      <w:tabs>
        <w:tab w:val="right" w:pos="9469"/>
      </w:tabs>
      <w:ind w:left="57"/>
    </w:pPr>
  </w:style>
  <w:style w:type="paragraph" w:customStyle="1" w:styleId="TabelleText">
    <w:name w:val="Tabelle Text"/>
    <w:basedOn w:val="TabelleTextgro"/>
    <w:uiPriority w:val="11"/>
    <w:qFormat/>
    <w:rsid w:val="004B7C10"/>
    <w:rPr>
      <w:sz w:val="16"/>
    </w:rPr>
  </w:style>
  <w:style w:type="table" w:styleId="HelleSchattierung-Akzent1">
    <w:name w:val="Light Shading Accent 1"/>
    <w:basedOn w:val="NormaleTabelle"/>
    <w:uiPriority w:val="60"/>
    <w:rsid w:val="004B7C10"/>
    <w:pPr>
      <w:spacing w:line="240" w:lineRule="auto"/>
    </w:pPr>
    <w:rPr>
      <w:color w:val="5C852E" w:themeColor="accent1" w:themeShade="BF"/>
    </w:rPr>
    <w:tblPr>
      <w:tblStyleRowBandSize w:val="1"/>
      <w:tblStyleColBandSize w:val="1"/>
      <w:tblBorders>
        <w:top w:val="single" w:sz="8" w:space="0" w:color="7BB23E" w:themeColor="accent1"/>
        <w:bottom w:val="single" w:sz="8" w:space="0" w:color="7BB23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23E" w:themeColor="accent1"/>
          <w:left w:val="nil"/>
          <w:bottom w:val="single" w:sz="8" w:space="0" w:color="7BB23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B23E" w:themeColor="accent1"/>
          <w:left w:val="nil"/>
          <w:bottom w:val="single" w:sz="8" w:space="0" w:color="7BB23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D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DCD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4B7C1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bbildung">
    <w:name w:val="Abbildung"/>
    <w:basedOn w:val="Standard"/>
    <w:next w:val="Beschriftung"/>
    <w:uiPriority w:val="2"/>
    <w:qFormat/>
    <w:rsid w:val="004B7C10"/>
    <w:pPr>
      <w:spacing w:before="240" w:after="120"/>
      <w:jc w:val="center"/>
    </w:pPr>
    <w:rPr>
      <w:noProof/>
    </w:rPr>
  </w:style>
  <w:style w:type="numbering" w:customStyle="1" w:styleId="GCAListe">
    <w:name w:val="GCA Liste"/>
    <w:uiPriority w:val="99"/>
    <w:rsid w:val="0072320C"/>
    <w:pPr>
      <w:numPr>
        <w:numId w:val="6"/>
      </w:numPr>
    </w:pPr>
  </w:style>
  <w:style w:type="character" w:styleId="Platzhaltertext">
    <w:name w:val="Placeholder Text"/>
    <w:basedOn w:val="Absatz-Standardschriftart"/>
    <w:uiPriority w:val="99"/>
    <w:semiHidden/>
    <w:rsid w:val="004B7C1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03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03B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03B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03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0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013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144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948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50353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519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as Connect Austria">
  <a:themeElements>
    <a:clrScheme name="Gas Connect Austria">
      <a:dk1>
        <a:srgbClr val="000000"/>
      </a:dk1>
      <a:lt1>
        <a:srgbClr val="FFFFFF"/>
      </a:lt1>
      <a:dk2>
        <a:srgbClr val="808080"/>
      </a:dk2>
      <a:lt2>
        <a:srgbClr val="E5E5E5"/>
      </a:lt2>
      <a:accent1>
        <a:srgbClr val="7BB23E"/>
      </a:accent1>
      <a:accent2>
        <a:srgbClr val="357437"/>
      </a:accent2>
      <a:accent3>
        <a:srgbClr val="A9C938"/>
      </a:accent3>
      <a:accent4>
        <a:srgbClr val="267464"/>
      </a:accent4>
      <a:accent5>
        <a:srgbClr val="DFA827"/>
      </a:accent5>
      <a:accent6>
        <a:srgbClr val="BE1C24"/>
      </a:accent6>
      <a:hlink>
        <a:srgbClr val="7BB23E"/>
      </a:hlink>
      <a:folHlink>
        <a:srgbClr val="4C9679"/>
      </a:folHlink>
    </a:clrScheme>
    <a:fontScheme name="Gas Connect Austr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AFA4C4C652C14C87BC562087131C10" ma:contentTypeVersion="0" ma:contentTypeDescription="Ein neues Dokument erstellen." ma:contentTypeScope="" ma:versionID="15d06fcf6d9e7d6699813dab9b86a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5676-A19C-4EE7-9E4B-A9CCE4CAD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0D9EAC-C5E5-46CA-B664-AAE1FAD09C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6F2C5E-6265-4AE7-A9B1-177166758E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47AA73-29C7-444D-B2D6-10B1F965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875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Gas Connect Austria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Schwarz, Maria</dc:creator>
  <cp:keywords/>
  <dc:description/>
  <cp:lastModifiedBy>Nader, Michael</cp:lastModifiedBy>
  <cp:revision>6</cp:revision>
  <cp:lastPrinted>2017-08-10T09:57:00Z</cp:lastPrinted>
  <dcterms:created xsi:type="dcterms:W3CDTF">2017-08-10T10:18:00Z</dcterms:created>
  <dcterms:modified xsi:type="dcterms:W3CDTF">2017-09-28T09:48:00Z</dcterms:modified>
</cp:coreProperties>
</file>